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3686D">
      <w:pPr>
        <w:pageBreakBefore w:val="0"/>
        <w:shd w:val="clear"/>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highlight w:val="none"/>
          <w:u w:val="none"/>
          <w:lang w:val="en-US" w:eastAsia="zh-CN"/>
        </w:rPr>
      </w:pPr>
      <w:r>
        <w:rPr>
          <w:rFonts w:hint="eastAsia" w:ascii="方正公文小标宋" w:hAnsi="方正公文小标宋" w:eastAsia="方正公文小标宋" w:cs="方正公文小标宋"/>
          <w:sz w:val="44"/>
          <w:szCs w:val="44"/>
          <w:highlight w:val="none"/>
          <w:u w:val="none"/>
          <w:lang w:val="en-US" w:eastAsia="zh-CN"/>
        </w:rPr>
        <w:t>关于统一应用融合门户平台项目</w:t>
      </w:r>
    </w:p>
    <w:p w14:paraId="5C0D2BC8">
      <w:pPr>
        <w:pageBreakBefore w:val="0"/>
        <w:shd w:val="clear"/>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highlight w:val="none"/>
          <w:u w:val="none"/>
          <w:lang w:val="en-US" w:eastAsia="zh-CN"/>
        </w:rPr>
      </w:pPr>
      <w:r>
        <w:rPr>
          <w:rFonts w:hint="eastAsia" w:ascii="方正公文小标宋" w:hAnsi="方正公文小标宋" w:eastAsia="方正公文小标宋" w:cs="方正公文小标宋"/>
          <w:sz w:val="44"/>
          <w:szCs w:val="44"/>
          <w:highlight w:val="none"/>
          <w:u w:val="none"/>
          <w:lang w:val="en-US" w:eastAsia="zh-CN"/>
        </w:rPr>
        <w:t>询价公告（重）</w:t>
      </w:r>
    </w:p>
    <w:p w14:paraId="155135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00" w:afterAutospacing="0" w:line="560" w:lineRule="exact"/>
        <w:ind w:left="0" w:right="0" w:firstLine="0"/>
        <w:jc w:val="center"/>
        <w:textAlignment w:val="auto"/>
        <w:rPr>
          <w:rFonts w:hint="eastAsia" w:ascii="华文楷体" w:hAnsi="华文楷体" w:eastAsia="华文楷体" w:cs="华文楷体"/>
          <w:i w:val="0"/>
          <w:iCs w:val="0"/>
          <w:caps w:val="0"/>
          <w:color w:val="333333"/>
          <w:spacing w:val="0"/>
          <w:sz w:val="44"/>
          <w:szCs w:val="44"/>
          <w:highlight w:val="none"/>
          <w:shd w:val="clear" w:fill="FFFFFF"/>
        </w:rPr>
      </w:pPr>
    </w:p>
    <w:p w14:paraId="4934E604">
      <w:pPr>
        <w:pageBreakBefore w:val="0"/>
        <w:shd w:val="clear"/>
        <w:kinsoku/>
        <w:overflowPunct/>
        <w:topLinePunct w:val="0"/>
        <w:autoSpaceDE/>
        <w:autoSpaceDN/>
        <w:bidi w:val="0"/>
        <w:adjustRightInd/>
        <w:spacing w:line="560" w:lineRule="exact"/>
        <w:textAlignment w:val="auto"/>
        <w:rPr>
          <w:rFonts w:hint="eastAsia" w:ascii="仿宋_GB2312" w:hAnsi="仿宋_GB2312" w:eastAsia="仿宋_GB2312" w:cs="仿宋_GB2312"/>
          <w:i w:val="0"/>
          <w:iCs w:val="0"/>
          <w:caps w:val="0"/>
          <w:color w:val="333333"/>
          <w:spacing w:val="0"/>
          <w:sz w:val="32"/>
          <w:szCs w:val="32"/>
          <w:highlight w:val="none"/>
          <w:shd w:val="clear"/>
        </w:rPr>
      </w:pPr>
      <w:r>
        <w:rPr>
          <w:rFonts w:hint="eastAsia" w:ascii="仿宋_GB2312" w:hAnsi="微软雅黑" w:eastAsia="仿宋_GB2312" w:cs="仿宋_GB2312"/>
          <w:i w:val="0"/>
          <w:iCs w:val="0"/>
          <w:caps w:val="0"/>
          <w:color w:val="333333"/>
          <w:spacing w:val="0"/>
          <w:sz w:val="31"/>
          <w:szCs w:val="31"/>
          <w:highlight w:val="none"/>
          <w:shd w:val="clear" w:fill="FFFFFF"/>
          <w:lang w:val="en-US" w:eastAsia="zh-CN"/>
        </w:rPr>
        <w:t xml:space="preserve">    </w:t>
      </w:r>
      <w:r>
        <w:rPr>
          <w:rFonts w:ascii="仿宋_GB2312" w:hAnsi="微软雅黑" w:eastAsia="仿宋_GB2312" w:cs="仿宋_GB2312"/>
          <w:i w:val="0"/>
          <w:iCs w:val="0"/>
          <w:caps w:val="0"/>
          <w:color w:val="333333"/>
          <w:spacing w:val="0"/>
          <w:sz w:val="31"/>
          <w:szCs w:val="31"/>
          <w:highlight w:val="none"/>
          <w:shd w:val="clear" w:fill="FFFFFF"/>
        </w:rPr>
        <w:t>我</w:t>
      </w:r>
      <w:r>
        <w:rPr>
          <w:rFonts w:hint="eastAsia" w:ascii="仿宋_GB2312" w:hAnsi="微软雅黑" w:eastAsia="仿宋_GB2312" w:cs="仿宋_GB2312"/>
          <w:i w:val="0"/>
          <w:iCs w:val="0"/>
          <w:caps w:val="0"/>
          <w:color w:val="333333"/>
          <w:spacing w:val="0"/>
          <w:sz w:val="31"/>
          <w:szCs w:val="31"/>
          <w:highlight w:val="none"/>
          <w:shd w:val="clear" w:fill="FFFFFF"/>
          <w:lang w:val="en-US" w:eastAsia="zh-CN"/>
        </w:rPr>
        <w:t>校统一应用融合门户平台项目</w:t>
      </w:r>
      <w:r>
        <w:rPr>
          <w:rFonts w:hint="eastAsia" w:ascii="仿宋_GB2312" w:hAnsi="微软雅黑" w:eastAsia="仿宋_GB2312" w:cs="仿宋_GB2312"/>
          <w:i w:val="0"/>
          <w:iCs w:val="0"/>
          <w:caps w:val="0"/>
          <w:color w:val="333333"/>
          <w:spacing w:val="0"/>
          <w:sz w:val="31"/>
          <w:szCs w:val="31"/>
          <w:highlight w:val="none"/>
          <w:shd w:val="clear"/>
          <w:lang w:val="en-US" w:eastAsia="zh-CN"/>
        </w:rPr>
        <w:t>，预算</w:t>
      </w:r>
      <w:r>
        <w:rPr>
          <w:rFonts w:hint="eastAsia" w:ascii="仿宋_GB2312" w:hAnsi="微软雅黑" w:eastAsia="仿宋_GB2312" w:cs="仿宋_GB2312"/>
          <w:i w:val="0"/>
          <w:iCs w:val="0"/>
          <w:caps w:val="0"/>
          <w:color w:val="333333"/>
          <w:spacing w:val="0"/>
          <w:sz w:val="31"/>
          <w:szCs w:val="31"/>
          <w:highlight w:val="none"/>
          <w:shd w:val="clear"/>
        </w:rPr>
        <w:t>价为</w:t>
      </w:r>
      <w:r>
        <w:rPr>
          <w:rFonts w:hint="eastAsia" w:ascii="仿宋_GB2312" w:hAnsi="微软雅黑" w:eastAsia="仿宋_GB2312" w:cs="仿宋_GB2312"/>
          <w:i w:val="0"/>
          <w:iCs w:val="0"/>
          <w:caps w:val="0"/>
          <w:color w:val="333333"/>
          <w:spacing w:val="0"/>
          <w:sz w:val="31"/>
          <w:szCs w:val="31"/>
          <w:highlight w:val="none"/>
          <w:shd w:val="clear"/>
          <w:lang w:val="en-US" w:eastAsia="zh-CN"/>
        </w:rPr>
        <w:t>847040.00</w:t>
      </w:r>
      <w:r>
        <w:rPr>
          <w:rFonts w:hint="eastAsia" w:ascii="仿宋_GB2312" w:hAnsi="仿宋_GB2312" w:eastAsia="仿宋_GB2312" w:cs="仿宋_GB2312"/>
          <w:i w:val="0"/>
          <w:iCs w:val="0"/>
          <w:caps w:val="0"/>
          <w:color w:val="333333"/>
          <w:spacing w:val="0"/>
          <w:sz w:val="32"/>
          <w:szCs w:val="32"/>
          <w:shd w:val="clear" w:fill="FFFFFF"/>
        </w:rPr>
        <w:t>元</w:t>
      </w:r>
      <w:r>
        <w:rPr>
          <w:rFonts w:hint="eastAsia" w:ascii="仿宋_GB2312" w:hAnsi="微软雅黑" w:eastAsia="仿宋_GB2312" w:cs="仿宋_GB2312"/>
          <w:i w:val="0"/>
          <w:iCs w:val="0"/>
          <w:caps w:val="0"/>
          <w:color w:val="333333"/>
          <w:spacing w:val="0"/>
          <w:sz w:val="31"/>
          <w:szCs w:val="31"/>
          <w:highlight w:val="none"/>
          <w:shd w:val="clear"/>
          <w:lang w:eastAsia="zh-CN"/>
        </w:rPr>
        <w:t>。</w:t>
      </w:r>
      <w:r>
        <w:rPr>
          <w:rFonts w:hint="eastAsia" w:ascii="仿宋_GB2312" w:hAnsi="仿宋_GB2312" w:eastAsia="仿宋_GB2312" w:cs="仿宋_GB2312"/>
          <w:i w:val="0"/>
          <w:iCs w:val="0"/>
          <w:caps w:val="0"/>
          <w:color w:val="333333"/>
          <w:spacing w:val="0"/>
          <w:sz w:val="32"/>
          <w:szCs w:val="32"/>
          <w:highlight w:val="none"/>
          <w:shd w:val="clear" w:fill="FFFFFF"/>
        </w:rPr>
        <w:t>根据</w:t>
      </w:r>
      <w:r>
        <w:rPr>
          <w:rFonts w:hint="eastAsia" w:ascii="仿宋_GB2312" w:hAnsi="仿宋_GB2312" w:eastAsia="仿宋_GB2312" w:cs="仿宋_GB2312"/>
          <w:i w:val="0"/>
          <w:iCs w:val="0"/>
          <w:caps w:val="0"/>
          <w:color w:val="auto"/>
          <w:spacing w:val="0"/>
          <w:sz w:val="32"/>
          <w:szCs w:val="32"/>
          <w:highlight w:val="none"/>
          <w:shd w:val="clear" w:fill="FFFFFF"/>
        </w:rPr>
        <w:t>我校内控制度，</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本项目</w:t>
      </w:r>
      <w:r>
        <w:rPr>
          <w:rFonts w:hint="eastAsia" w:ascii="仿宋_GB2312" w:hAnsi="仿宋_GB2312" w:eastAsia="仿宋_GB2312" w:cs="仿宋_GB2312"/>
          <w:i w:val="0"/>
          <w:iCs w:val="0"/>
          <w:caps w:val="0"/>
          <w:color w:val="auto"/>
          <w:spacing w:val="0"/>
          <w:sz w:val="32"/>
          <w:szCs w:val="32"/>
          <w:highlight w:val="none"/>
          <w:shd w:val="clear" w:fill="FFFFFF"/>
        </w:rPr>
        <w:t>通过</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公开</w:t>
      </w:r>
      <w:r>
        <w:rPr>
          <w:rFonts w:hint="eastAsia" w:ascii="仿宋_GB2312" w:hAnsi="仿宋_GB2312" w:eastAsia="仿宋_GB2312" w:cs="仿宋_GB2312"/>
          <w:i w:val="0"/>
          <w:iCs w:val="0"/>
          <w:caps w:val="0"/>
          <w:color w:val="auto"/>
          <w:spacing w:val="0"/>
          <w:sz w:val="32"/>
          <w:szCs w:val="32"/>
          <w:highlight w:val="none"/>
          <w:shd w:val="clear" w:fill="FFFFFF"/>
        </w:rPr>
        <w:t>询价的方式实施采购，请有意向且</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符合要求</w:t>
      </w:r>
      <w:r>
        <w:rPr>
          <w:rFonts w:hint="eastAsia" w:ascii="仿宋_GB2312" w:hAnsi="仿宋_GB2312" w:eastAsia="仿宋_GB2312" w:cs="仿宋_GB2312"/>
          <w:i w:val="0"/>
          <w:iCs w:val="0"/>
          <w:caps w:val="0"/>
          <w:color w:val="auto"/>
          <w:spacing w:val="0"/>
          <w:sz w:val="32"/>
          <w:szCs w:val="32"/>
          <w:highlight w:val="none"/>
          <w:shd w:val="clear" w:fill="FFFFFF"/>
          <w:lang w:eastAsia="zh-CN"/>
        </w:rPr>
        <w:t>的</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供应商</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lang w:val="en-US" w:eastAsia="zh-CN"/>
        </w:rPr>
        <w:t>按附件要求</w:t>
      </w:r>
      <w:r>
        <w:rPr>
          <w:rFonts w:hint="eastAsia" w:ascii="仿宋_GB2312" w:hAnsi="仿宋_GB2312" w:eastAsia="仿宋_GB2312" w:cs="仿宋_GB2312"/>
          <w:i w:val="0"/>
          <w:iCs w:val="0"/>
          <w:caps w:val="0"/>
          <w:color w:val="333333"/>
          <w:spacing w:val="0"/>
          <w:sz w:val="32"/>
          <w:szCs w:val="32"/>
          <w:highlight w:val="none"/>
          <w:shd w:val="clear"/>
          <w:lang w:val="en-US" w:eastAsia="zh-CN"/>
        </w:rPr>
        <w:t>报名及报价</w:t>
      </w:r>
      <w:r>
        <w:rPr>
          <w:rFonts w:hint="eastAsia" w:ascii="仿宋_GB2312" w:hAnsi="仿宋_GB2312" w:eastAsia="仿宋_GB2312" w:cs="仿宋_GB2312"/>
          <w:i w:val="0"/>
          <w:iCs w:val="0"/>
          <w:caps w:val="0"/>
          <w:color w:val="333333"/>
          <w:spacing w:val="0"/>
          <w:sz w:val="32"/>
          <w:szCs w:val="32"/>
          <w:highlight w:val="none"/>
          <w:shd w:val="clear"/>
        </w:rPr>
        <w:t>。</w:t>
      </w:r>
    </w:p>
    <w:p w14:paraId="60C279B2">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00" w:afterAutospacing="0" w:line="560" w:lineRule="exact"/>
        <w:ind w:right="0" w:rightChars="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p>
    <w:p w14:paraId="6662E101">
      <w:pPr>
        <w:pageBreakBefore w:val="0"/>
        <w:shd w:val="clea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iCs w:val="0"/>
          <w:caps w:val="0"/>
          <w:color w:val="333333"/>
          <w:spacing w:val="0"/>
          <w:sz w:val="32"/>
          <w:szCs w:val="32"/>
          <w:highlight w:val="none"/>
          <w:shd w:val="clear" w:color="FFFFFF" w:fill="D9D9D9"/>
          <w:lang w:val="en-US" w:eastAsia="zh-CN"/>
        </w:rPr>
      </w:pPr>
      <w:r>
        <w:rPr>
          <w:rFonts w:hint="eastAsia" w:ascii="仿宋_GB2312" w:hAnsi="仿宋_GB2312" w:eastAsia="仿宋_GB2312" w:cs="仿宋_GB2312"/>
          <w:i w:val="0"/>
          <w:iCs w:val="0"/>
          <w:caps w:val="0"/>
          <w:color w:val="333333"/>
          <w:spacing w:val="0"/>
          <w:sz w:val="32"/>
          <w:szCs w:val="32"/>
          <w:highlight w:val="none"/>
          <w:shd w:val="clear" w:color="FFFFFF" w:fill="D9D9D9"/>
        </w:rPr>
        <w:t>附件：报价须知</w:t>
      </w:r>
      <w:r>
        <w:rPr>
          <w:rFonts w:hint="eastAsia" w:ascii="仿宋_GB2312" w:hAnsi="仿宋_GB2312" w:eastAsia="仿宋_GB2312" w:cs="仿宋_GB2312"/>
          <w:i w:val="0"/>
          <w:iCs w:val="0"/>
          <w:caps w:val="0"/>
          <w:color w:val="333333"/>
          <w:spacing w:val="0"/>
          <w:sz w:val="32"/>
          <w:szCs w:val="32"/>
          <w:highlight w:val="none"/>
          <w:shd w:val="clear" w:color="FFFFFF" w:fill="D9D9D9"/>
          <w:lang w:val="en-US" w:eastAsia="zh-CN"/>
        </w:rPr>
        <w:t>等</w:t>
      </w:r>
    </w:p>
    <w:p w14:paraId="3BD2F00A">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00" w:afterAutospacing="0" w:line="560" w:lineRule="exact"/>
        <w:ind w:right="0" w:rightChars="0"/>
        <w:jc w:val="both"/>
        <w:textAlignment w:val="auto"/>
        <w:rPr>
          <w:rFonts w:hint="default" w:ascii="仿宋_GB2312" w:hAnsi="仿宋_GB2312" w:eastAsia="仿宋_GB2312" w:cs="仿宋_GB2312"/>
          <w:i w:val="0"/>
          <w:iCs w:val="0"/>
          <w:caps w:val="0"/>
          <w:color w:val="333333"/>
          <w:spacing w:val="0"/>
          <w:sz w:val="32"/>
          <w:szCs w:val="32"/>
          <w:highlight w:val="none"/>
          <w:shd w:val="clear" w:color="FFFFFF" w:fill="D9D9D9"/>
          <w:lang w:val="en-US" w:eastAsia="zh-CN"/>
        </w:rPr>
      </w:pPr>
    </w:p>
    <w:p w14:paraId="393211C0">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00" w:afterAutospacing="0" w:line="560" w:lineRule="exact"/>
        <w:ind w:leftChars="300" w:right="0" w:rightChars="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lang w:val="en-US" w:eastAsia="zh-CN"/>
        </w:rPr>
      </w:pPr>
    </w:p>
    <w:p w14:paraId="700F737D">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00" w:afterAutospacing="0" w:line="560" w:lineRule="exact"/>
        <w:ind w:leftChars="300" w:right="0" w:rightChars="0"/>
        <w:jc w:val="center"/>
        <w:textAlignment w:val="auto"/>
        <w:rPr>
          <w:rFonts w:hint="eastAsia" w:ascii="仿宋_GB2312" w:hAnsi="仿宋_GB2312" w:eastAsia="仿宋_GB2312" w:cs="仿宋_GB2312"/>
          <w:i w:val="0"/>
          <w:iCs w:val="0"/>
          <w:caps w:val="0"/>
          <w:color w:val="333333"/>
          <w:spacing w:val="0"/>
          <w:sz w:val="32"/>
          <w:szCs w:val="32"/>
          <w:highlight w:val="none"/>
          <w:shd w:val="clear" w:fill="FFFFFF"/>
          <w:lang w:val="en-US" w:eastAsia="zh-CN"/>
        </w:rPr>
      </w:pP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 xml:space="preserve">          国有资产管理处（招投标处）</w:t>
      </w:r>
    </w:p>
    <w:p w14:paraId="1F8FD65A">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00" w:afterAutospacing="0" w:line="560" w:lineRule="exact"/>
        <w:ind w:leftChars="300" w:right="0" w:rightChars="0"/>
        <w:jc w:val="center"/>
        <w:textAlignment w:val="auto"/>
        <w:rPr>
          <w:rFonts w:hint="default" w:ascii="仿宋_GB2312" w:hAnsi="仿宋_GB2312" w:eastAsia="仿宋_GB2312" w:cs="仿宋_GB2312"/>
          <w:i w:val="0"/>
          <w:iCs w:val="0"/>
          <w:caps w:val="0"/>
          <w:color w:val="333333"/>
          <w:spacing w:val="0"/>
          <w:sz w:val="32"/>
          <w:szCs w:val="32"/>
          <w:highlight w:val="none"/>
          <w:shd w:val="clear" w:fill="FFFFFF"/>
          <w:lang w:val="en-US" w:eastAsia="zh-CN"/>
        </w:rPr>
      </w:pP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 xml:space="preserve">           2025年4月25日</w:t>
      </w:r>
    </w:p>
    <w:p w14:paraId="3D3FBD1B">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00" w:afterAutospacing="0" w:line="560" w:lineRule="exact"/>
        <w:ind w:leftChars="300" w:right="0" w:rightChars="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lang w:val="en-US" w:eastAsia="zh-CN"/>
        </w:rPr>
      </w:pPr>
    </w:p>
    <w:p w14:paraId="3E4BC8ED">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00" w:afterAutospacing="0" w:line="560" w:lineRule="exact"/>
        <w:ind w:right="0" w:rightChars="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lang w:val="en-US" w:eastAsia="zh-CN"/>
        </w:rPr>
      </w:pPr>
    </w:p>
    <w:p w14:paraId="48E27BC3">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00" w:afterAutospacing="0" w:line="560" w:lineRule="exact"/>
        <w:ind w:right="0" w:rightChars="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lang w:val="en-US" w:eastAsia="zh-CN"/>
        </w:rPr>
      </w:pPr>
    </w:p>
    <w:p w14:paraId="0DE1F02A">
      <w:pPr>
        <w:pageBreakBefore w:val="0"/>
        <w:shd w:val="clear"/>
        <w:kinsoku/>
        <w:wordWrap/>
        <w:overflowPunct/>
        <w:topLinePunct w:val="0"/>
        <w:autoSpaceDE/>
        <w:autoSpaceDN/>
        <w:bidi w:val="0"/>
        <w:adjustRightInd/>
        <w:snapToGrid/>
        <w:spacing w:line="560" w:lineRule="exact"/>
        <w:jc w:val="both"/>
        <w:textAlignment w:val="auto"/>
        <w:rPr>
          <w:rFonts w:hint="eastAsia" w:ascii="华文楷体" w:hAnsi="华文楷体" w:eastAsia="华文楷体" w:cs="华文楷体"/>
          <w:b/>
          <w:bCs/>
          <w:sz w:val="44"/>
          <w:szCs w:val="44"/>
          <w:highlight w:val="none"/>
          <w:lang w:val="en-US" w:eastAsia="zh-CN"/>
        </w:rPr>
      </w:pPr>
    </w:p>
    <w:p w14:paraId="435DD58A">
      <w:pPr>
        <w:pageBreakBefore w:val="0"/>
        <w:shd w:val="clear"/>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b/>
          <w:bCs/>
          <w:sz w:val="44"/>
          <w:szCs w:val="44"/>
          <w:highlight w:val="none"/>
          <w:lang w:val="en-US" w:eastAsia="zh-CN"/>
        </w:rPr>
      </w:pPr>
    </w:p>
    <w:p w14:paraId="69839B69">
      <w:pPr>
        <w:pageBreakBefore w:val="0"/>
        <w:shd w:val="clear"/>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b/>
          <w:bCs/>
          <w:sz w:val="44"/>
          <w:szCs w:val="44"/>
          <w:highlight w:val="none"/>
          <w:lang w:val="en-US" w:eastAsia="zh-CN"/>
        </w:rPr>
      </w:pPr>
    </w:p>
    <w:p w14:paraId="493883D3">
      <w:pPr>
        <w:pageBreakBefore w:val="0"/>
        <w:shd w:val="clear"/>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b/>
          <w:bCs/>
          <w:sz w:val="44"/>
          <w:szCs w:val="44"/>
          <w:highlight w:val="none"/>
          <w:lang w:val="en-US" w:eastAsia="zh-CN"/>
        </w:rPr>
      </w:pPr>
    </w:p>
    <w:p w14:paraId="4BFF90B3">
      <w:pPr>
        <w:pageBreakBefore w:val="0"/>
        <w:shd w:val="clear"/>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b/>
          <w:bCs/>
          <w:sz w:val="44"/>
          <w:szCs w:val="44"/>
          <w:highlight w:val="none"/>
          <w:lang w:val="en-US" w:eastAsia="zh-CN"/>
        </w:rPr>
      </w:pPr>
    </w:p>
    <w:p w14:paraId="47601026">
      <w:pPr>
        <w:pageBreakBefore w:val="0"/>
        <w:shd w:val="clear"/>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highlight w:val="none"/>
          <w:u w:val="none"/>
          <w:lang w:val="en-US" w:eastAsia="zh-CN"/>
        </w:rPr>
      </w:pPr>
      <w:r>
        <w:rPr>
          <w:rFonts w:hint="eastAsia" w:ascii="方正公文小标宋" w:hAnsi="方正公文小标宋" w:eastAsia="方正公文小标宋" w:cs="方正公文小标宋"/>
          <w:sz w:val="44"/>
          <w:szCs w:val="44"/>
          <w:highlight w:val="none"/>
          <w:u w:val="none"/>
          <w:lang w:val="en-US" w:eastAsia="zh-CN"/>
        </w:rPr>
        <w:t>投标（报价）须知</w:t>
      </w:r>
    </w:p>
    <w:p w14:paraId="1EE69208">
      <w:pPr>
        <w:pageBreakBefore w:val="0"/>
        <w:numPr>
          <w:ilvl w:val="0"/>
          <w:numId w:val="0"/>
        </w:numPr>
        <w:shd w:val="clea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highlight w:val="none"/>
          <w:lang w:val="en-US" w:eastAsia="zh-CN"/>
        </w:rPr>
      </w:pPr>
    </w:p>
    <w:p w14:paraId="4FB25584">
      <w:pPr>
        <w:pageBreakBefore w:val="0"/>
        <w:numPr>
          <w:ilvl w:val="0"/>
          <w:numId w:val="1"/>
        </w:numPr>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项目概况</w:t>
      </w:r>
    </w:p>
    <w:p w14:paraId="03FFF305">
      <w:pPr>
        <w:pageBreakBefore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（一）</w:t>
      </w:r>
      <w:r>
        <w:rPr>
          <w:rFonts w:hint="eastAsia" w:ascii="仿宋_GB2312" w:hAnsi="仿宋_GB2312" w:eastAsia="仿宋_GB2312" w:cs="仿宋_GB2312"/>
          <w:b w:val="0"/>
          <w:bCs w:val="0"/>
          <w:sz w:val="32"/>
          <w:szCs w:val="32"/>
          <w:highlight w:val="none"/>
        </w:rPr>
        <w:t>项目</w:t>
      </w:r>
      <w:r>
        <w:rPr>
          <w:rFonts w:hint="eastAsia" w:ascii="仿宋_GB2312" w:hAnsi="仿宋_GB2312" w:eastAsia="仿宋_GB2312" w:cs="仿宋_GB2312"/>
          <w:b w:val="0"/>
          <w:bCs w:val="0"/>
          <w:sz w:val="32"/>
          <w:szCs w:val="32"/>
          <w:highlight w:val="none"/>
          <w:lang w:val="en-US" w:eastAsia="zh-CN"/>
        </w:rPr>
        <w:t>名称</w:t>
      </w:r>
      <w:r>
        <w:rPr>
          <w:rFonts w:hint="eastAsia" w:ascii="仿宋_GB2312" w:hAnsi="仿宋_GB2312" w:eastAsia="仿宋_GB2312" w:cs="仿宋_GB2312"/>
          <w:b w:val="0"/>
          <w:bCs w:val="0"/>
          <w:sz w:val="32"/>
          <w:szCs w:val="32"/>
          <w:highlight w:val="none"/>
        </w:rPr>
        <w:t>：</w:t>
      </w:r>
      <w:r>
        <w:rPr>
          <w:rFonts w:hint="eastAsia" w:ascii="仿宋_GB2312" w:hAnsi="微软雅黑" w:eastAsia="仿宋_GB2312" w:cs="仿宋_GB2312"/>
          <w:i w:val="0"/>
          <w:iCs w:val="0"/>
          <w:caps w:val="0"/>
          <w:color w:val="333333"/>
          <w:spacing w:val="0"/>
          <w:sz w:val="31"/>
          <w:szCs w:val="31"/>
          <w:highlight w:val="none"/>
          <w:shd w:val="clear" w:fill="FFFFFF"/>
          <w:lang w:val="en-US" w:eastAsia="zh-CN"/>
        </w:rPr>
        <w:t>统一应用融合门户平台项目</w:t>
      </w:r>
      <w:r>
        <w:rPr>
          <w:rFonts w:hint="eastAsia" w:ascii="仿宋_GB2312" w:hAnsi="仿宋_GB2312" w:eastAsia="仿宋_GB2312" w:cs="仿宋_GB2312"/>
          <w:b w:val="0"/>
          <w:bCs w:val="0"/>
          <w:sz w:val="32"/>
          <w:szCs w:val="32"/>
          <w:highlight w:val="none"/>
          <w:lang w:val="en-US" w:eastAsia="zh-CN"/>
        </w:rPr>
        <w:t>。</w:t>
      </w:r>
    </w:p>
    <w:p w14:paraId="642ED5B9">
      <w:pPr>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i w:val="0"/>
          <w:iCs w:val="0"/>
          <w:caps w:val="0"/>
          <w:color w:val="333333"/>
          <w:spacing w:val="0"/>
          <w:sz w:val="31"/>
          <w:szCs w:val="31"/>
          <w:highlight w:val="none"/>
          <w:shd w:val="clear"/>
          <w:lang w:val="en-US" w:eastAsia="zh-CN"/>
        </w:rPr>
      </w:pPr>
      <w:r>
        <w:rPr>
          <w:rFonts w:hint="eastAsia" w:ascii="仿宋_GB2312" w:hAnsi="仿宋_GB2312" w:eastAsia="仿宋_GB2312" w:cs="仿宋_GB2312"/>
          <w:b w:val="0"/>
          <w:bCs w:val="0"/>
          <w:sz w:val="32"/>
          <w:szCs w:val="32"/>
          <w:highlight w:val="none"/>
          <w:lang w:val="en-US" w:eastAsia="zh-CN"/>
        </w:rPr>
        <w:t>（二）预算金额</w:t>
      </w:r>
      <w:r>
        <w:rPr>
          <w:rFonts w:hint="eastAsia" w:ascii="仿宋_GB2312" w:hAnsi="仿宋_GB2312" w:eastAsia="仿宋_GB2312" w:cs="仿宋_GB2312"/>
          <w:b w:val="0"/>
          <w:bCs w:val="0"/>
          <w:i w:val="0"/>
          <w:iCs w:val="0"/>
          <w:caps w:val="0"/>
          <w:color w:val="auto"/>
          <w:spacing w:val="0"/>
          <w:sz w:val="32"/>
          <w:szCs w:val="32"/>
          <w:highlight w:val="none"/>
          <w:shd w:val="clear"/>
          <w:lang w:val="en-US" w:eastAsia="zh-CN"/>
        </w:rPr>
        <w:t>：</w:t>
      </w:r>
      <w:r>
        <w:rPr>
          <w:rFonts w:hint="eastAsia" w:ascii="仿宋_GB2312" w:hAnsi="微软雅黑" w:eastAsia="仿宋_GB2312" w:cs="仿宋_GB2312"/>
          <w:i w:val="0"/>
          <w:iCs w:val="0"/>
          <w:caps w:val="0"/>
          <w:color w:val="333333"/>
          <w:spacing w:val="0"/>
          <w:sz w:val="31"/>
          <w:szCs w:val="31"/>
          <w:highlight w:val="none"/>
          <w:shd w:val="clear"/>
          <w:lang w:val="en-US" w:eastAsia="zh-CN"/>
        </w:rPr>
        <w:t>847040.00</w:t>
      </w:r>
      <w:r>
        <w:rPr>
          <w:rFonts w:hint="eastAsia" w:ascii="仿宋_GB2312" w:hAnsi="仿宋_GB2312" w:eastAsia="仿宋_GB2312" w:cs="仿宋_GB2312"/>
          <w:i w:val="0"/>
          <w:iCs w:val="0"/>
          <w:caps w:val="0"/>
          <w:color w:val="333333"/>
          <w:spacing w:val="0"/>
          <w:sz w:val="32"/>
          <w:szCs w:val="32"/>
          <w:shd w:val="clear" w:fill="FFFFFF"/>
        </w:rPr>
        <w:t>元</w:t>
      </w:r>
      <w:r>
        <w:rPr>
          <w:rFonts w:hint="eastAsia" w:ascii="仿宋_GB2312" w:hAnsi="仿宋_GB2312" w:eastAsia="仿宋_GB2312" w:cs="仿宋_GB2312"/>
          <w:i w:val="0"/>
          <w:iCs w:val="0"/>
          <w:caps w:val="0"/>
          <w:color w:val="333333"/>
          <w:spacing w:val="0"/>
          <w:sz w:val="32"/>
          <w:szCs w:val="32"/>
          <w:shd w:val="clear" w:fill="FFFFFF"/>
          <w:lang w:eastAsia="zh-CN"/>
        </w:rPr>
        <w:t>。</w:t>
      </w:r>
    </w:p>
    <w:p w14:paraId="67BF75C1">
      <w:pPr>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highlight w:val="none"/>
          <w:lang w:val="en-US" w:eastAsia="zh-CN"/>
        </w:rPr>
      </w:pPr>
      <w:r>
        <w:rPr>
          <w:rFonts w:hint="eastAsia" w:ascii="仿宋_GB2312" w:hAnsi="仿宋_GB2312" w:eastAsia="仿宋_GB2312" w:cs="仿宋_GB2312"/>
          <w:b w:val="0"/>
          <w:bCs w:val="0"/>
          <w:sz w:val="32"/>
          <w:szCs w:val="32"/>
          <w:highlight w:val="none"/>
          <w:lang w:val="en-US" w:eastAsia="zh-CN"/>
        </w:rPr>
        <w:t>（三）主要内容：详见《采购需求》。</w:t>
      </w:r>
    </w:p>
    <w:p w14:paraId="2519DF6A">
      <w:pPr>
        <w:pageBreakBefore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二、相关要求</w:t>
      </w:r>
    </w:p>
    <w:p w14:paraId="01681BB8">
      <w:pPr>
        <w:pStyle w:val="1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Style w:val="17"/>
          <w:rFonts w:hint="eastAsia" w:ascii="仿宋_GB2312" w:hAnsi="仿宋_GB2312" w:eastAsia="仿宋_GB2312" w:cs="仿宋_GB2312"/>
          <w:i w:val="0"/>
          <w:caps w:val="0"/>
          <w:color w:val="000000"/>
          <w:spacing w:val="0"/>
          <w:sz w:val="32"/>
          <w:szCs w:val="32"/>
          <w:highlight w:val="none"/>
          <w:lang w:eastAsia="zh-CN"/>
        </w:rPr>
        <w:t>（</w:t>
      </w:r>
      <w:r>
        <w:rPr>
          <w:rStyle w:val="17"/>
          <w:rFonts w:hint="eastAsia" w:ascii="仿宋_GB2312" w:hAnsi="仿宋_GB2312" w:eastAsia="仿宋_GB2312" w:cs="仿宋_GB2312"/>
          <w:i w:val="0"/>
          <w:caps w:val="0"/>
          <w:color w:val="000000"/>
          <w:spacing w:val="0"/>
          <w:sz w:val="32"/>
          <w:szCs w:val="32"/>
          <w:highlight w:val="none"/>
          <w:lang w:val="en-US" w:eastAsia="zh-CN"/>
        </w:rPr>
        <w:t>一</w:t>
      </w:r>
      <w:r>
        <w:rPr>
          <w:rStyle w:val="17"/>
          <w:rFonts w:hint="eastAsia" w:ascii="仿宋_GB2312" w:hAnsi="仿宋_GB2312" w:eastAsia="仿宋_GB2312" w:cs="仿宋_GB2312"/>
          <w:i w:val="0"/>
          <w:caps w:val="0"/>
          <w:color w:val="000000"/>
          <w:spacing w:val="0"/>
          <w:sz w:val="32"/>
          <w:szCs w:val="32"/>
          <w:highlight w:val="none"/>
          <w:lang w:eastAsia="zh-CN"/>
        </w:rPr>
        <w:t>）</w:t>
      </w:r>
      <w:r>
        <w:rPr>
          <w:rStyle w:val="17"/>
          <w:rFonts w:hint="eastAsia" w:ascii="仿宋_GB2312" w:hAnsi="仿宋_GB2312" w:eastAsia="仿宋_GB2312" w:cs="仿宋_GB2312"/>
          <w:i w:val="0"/>
          <w:caps w:val="0"/>
          <w:color w:val="000000"/>
          <w:spacing w:val="0"/>
          <w:sz w:val="32"/>
          <w:szCs w:val="32"/>
          <w:highlight w:val="none"/>
        </w:rPr>
        <w:t>资格要求：</w:t>
      </w:r>
    </w:p>
    <w:p w14:paraId="46261016">
      <w:pPr>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highlight w:val="none"/>
          <w:shd w:val="clear"/>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1.</w:t>
      </w: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lang w:val="en-US" w:eastAsia="zh-CN"/>
        </w:rPr>
        <w:t>必须具有</w:t>
      </w:r>
      <w:r>
        <w:rPr>
          <w:rFonts w:hint="eastAsia" w:ascii="仿宋_GB2312" w:hAnsi="仿宋_GB2312" w:eastAsia="仿宋_GB2312" w:cs="仿宋_GB2312"/>
          <w:sz w:val="32"/>
          <w:szCs w:val="32"/>
        </w:rPr>
        <w:t>开展软件或信息技术服务业务的相关业务范围（在营业执照经营范围上有相关体现）</w:t>
      </w:r>
      <w:r>
        <w:rPr>
          <w:rFonts w:hint="eastAsia" w:ascii="仿宋_GB2312" w:hAnsi="仿宋_GB2312" w:eastAsia="仿宋_GB2312" w:cs="仿宋_GB2312"/>
          <w:sz w:val="32"/>
          <w:szCs w:val="32"/>
          <w:lang w:eastAsia="zh-CN"/>
        </w:rPr>
        <w:t>。</w:t>
      </w:r>
    </w:p>
    <w:p w14:paraId="26BBC52F">
      <w:pPr>
        <w:pageBreakBefore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highlight w:val="none"/>
          <w:shd w:val="clear"/>
          <w:lang w:val="en-US" w:eastAsia="zh-CN" w:bidi="ar-SA"/>
        </w:rPr>
      </w:pPr>
      <w:r>
        <w:rPr>
          <w:rFonts w:hint="eastAsia" w:ascii="仿宋_GB2312" w:hAnsi="仿宋_GB2312" w:eastAsia="仿宋_GB2312" w:cs="仿宋_GB2312"/>
          <w:b w:val="0"/>
          <w:bCs w:val="0"/>
          <w:kern w:val="2"/>
          <w:sz w:val="32"/>
          <w:szCs w:val="32"/>
          <w:highlight w:val="none"/>
          <w:shd w:val="clear"/>
          <w:lang w:val="en-US" w:eastAsia="zh-CN" w:bidi="ar-SA"/>
        </w:rPr>
        <w:t>2.参加政府采购活动前三年内，在经营活动中没有重大违法记录和不良信用记录；对在“信用中国”网站(www.creditchina.gov.cn)等渠道列入失信被执行人、重大税收违法案件当事人名单及其他不符合《中华人民共和国政府采购法》第二十二条规定条件的供应商，不得参与本次活动购活动。</w:t>
      </w:r>
    </w:p>
    <w:p w14:paraId="2162B597">
      <w:pPr>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default" w:eastAsia="仿宋_GB2312"/>
          <w:lang w:val="en-US" w:eastAsia="zh-CN"/>
        </w:rPr>
      </w:pPr>
      <w:r>
        <w:rPr>
          <w:rFonts w:hint="eastAsia" w:ascii="仿宋_GB2312" w:hAnsi="仿宋_GB2312" w:eastAsia="仿宋_GB2312" w:cs="仿宋_GB2312"/>
          <w:i w:val="0"/>
          <w:caps w:val="0"/>
          <w:color w:val="000000"/>
          <w:spacing w:val="0"/>
          <w:sz w:val="32"/>
          <w:szCs w:val="32"/>
          <w:highlight w:val="none"/>
          <w:lang w:val="en-US" w:eastAsia="zh-CN"/>
        </w:rPr>
        <w:t>3.</w:t>
      </w:r>
      <w:r>
        <w:rPr>
          <w:rFonts w:hint="eastAsia" w:ascii="仿宋_GB2312" w:hAnsi="仿宋_GB2312" w:eastAsia="仿宋_GB2312" w:cs="仿宋_GB2312"/>
          <w:i w:val="0"/>
          <w:caps w:val="0"/>
          <w:color w:val="000000"/>
          <w:spacing w:val="0"/>
          <w:sz w:val="32"/>
          <w:szCs w:val="32"/>
          <w:highlight w:val="none"/>
        </w:rPr>
        <w:t>近三年在</w:t>
      </w:r>
      <w:r>
        <w:rPr>
          <w:rFonts w:hint="eastAsia" w:ascii="仿宋_GB2312" w:hAnsi="仿宋_GB2312" w:eastAsia="仿宋_GB2312" w:cs="仿宋_GB2312"/>
          <w:i w:val="0"/>
          <w:caps w:val="0"/>
          <w:color w:val="000000"/>
          <w:spacing w:val="0"/>
          <w:sz w:val="32"/>
          <w:szCs w:val="32"/>
          <w:highlight w:val="none"/>
          <w:lang w:val="en-US" w:eastAsia="zh-CN"/>
        </w:rPr>
        <w:t>我校</w:t>
      </w:r>
      <w:r>
        <w:rPr>
          <w:rFonts w:hint="eastAsia" w:ascii="仿宋_GB2312" w:hAnsi="仿宋_GB2312" w:eastAsia="仿宋_GB2312" w:cs="仿宋_GB2312"/>
          <w:i w:val="0"/>
          <w:caps w:val="0"/>
          <w:color w:val="000000"/>
          <w:spacing w:val="0"/>
          <w:sz w:val="32"/>
          <w:szCs w:val="32"/>
          <w:highlight w:val="none"/>
        </w:rPr>
        <w:t>采购项目中没有合同违约、弃标等不良行为记录。</w:t>
      </w:r>
    </w:p>
    <w:p w14:paraId="6F55183B">
      <w:pPr>
        <w:pStyle w:val="1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Style w:val="17"/>
          <w:rFonts w:hint="eastAsia" w:ascii="仿宋_GB2312" w:hAnsi="仿宋_GB2312" w:eastAsia="仿宋_GB2312" w:cs="仿宋_GB2312"/>
          <w:i w:val="0"/>
          <w:caps w:val="0"/>
          <w:color w:val="000000"/>
          <w:spacing w:val="0"/>
          <w:sz w:val="32"/>
          <w:szCs w:val="32"/>
          <w:highlight w:val="none"/>
          <w:lang w:val="en-US" w:eastAsia="zh-CN"/>
        </w:rPr>
      </w:pPr>
      <w:r>
        <w:rPr>
          <w:rStyle w:val="17"/>
          <w:rFonts w:hint="eastAsia" w:ascii="仿宋_GB2312" w:hAnsi="仿宋_GB2312" w:eastAsia="仿宋_GB2312" w:cs="仿宋_GB2312"/>
          <w:i w:val="0"/>
          <w:caps w:val="0"/>
          <w:color w:val="000000"/>
          <w:spacing w:val="0"/>
          <w:sz w:val="32"/>
          <w:szCs w:val="32"/>
          <w:highlight w:val="none"/>
          <w:lang w:eastAsia="zh-CN"/>
        </w:rPr>
        <w:t>（</w:t>
      </w:r>
      <w:r>
        <w:rPr>
          <w:rStyle w:val="17"/>
          <w:rFonts w:hint="eastAsia" w:ascii="仿宋_GB2312" w:hAnsi="仿宋_GB2312" w:eastAsia="仿宋_GB2312" w:cs="仿宋_GB2312"/>
          <w:i w:val="0"/>
          <w:caps w:val="0"/>
          <w:color w:val="000000"/>
          <w:spacing w:val="0"/>
          <w:sz w:val="32"/>
          <w:szCs w:val="32"/>
          <w:highlight w:val="none"/>
          <w:lang w:val="en-US" w:eastAsia="zh-CN"/>
        </w:rPr>
        <w:t>二</w:t>
      </w:r>
      <w:r>
        <w:rPr>
          <w:rStyle w:val="17"/>
          <w:rFonts w:hint="eastAsia" w:ascii="仿宋_GB2312" w:hAnsi="仿宋_GB2312" w:eastAsia="仿宋_GB2312" w:cs="仿宋_GB2312"/>
          <w:i w:val="0"/>
          <w:caps w:val="0"/>
          <w:color w:val="000000"/>
          <w:spacing w:val="0"/>
          <w:sz w:val="32"/>
          <w:szCs w:val="32"/>
          <w:highlight w:val="none"/>
          <w:lang w:eastAsia="zh-CN"/>
        </w:rPr>
        <w:t>）</w:t>
      </w:r>
      <w:r>
        <w:rPr>
          <w:rStyle w:val="17"/>
          <w:rFonts w:hint="eastAsia" w:ascii="仿宋_GB2312" w:hAnsi="仿宋_GB2312" w:eastAsia="仿宋_GB2312" w:cs="仿宋_GB2312"/>
          <w:i w:val="0"/>
          <w:caps w:val="0"/>
          <w:color w:val="000000"/>
          <w:spacing w:val="0"/>
          <w:sz w:val="32"/>
          <w:szCs w:val="32"/>
          <w:highlight w:val="none"/>
          <w:lang w:val="en-US" w:eastAsia="zh-CN"/>
        </w:rPr>
        <w:t>报名要求</w:t>
      </w:r>
    </w:p>
    <w:p w14:paraId="23AE7113">
      <w:pPr>
        <w:pStyle w:val="1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i w:val="0"/>
          <w:caps w:val="0"/>
          <w:color w:val="000000"/>
          <w:spacing w:val="0"/>
          <w:kern w:val="2"/>
          <w:sz w:val="32"/>
          <w:szCs w:val="32"/>
          <w:highlight w:val="none"/>
          <w:lang w:val="en-US" w:eastAsia="zh-CN" w:bidi="ar-SA"/>
        </w:rPr>
      </w:pPr>
      <w:r>
        <w:rPr>
          <w:rFonts w:hint="eastAsia" w:ascii="仿宋_GB2312" w:hAnsi="仿宋_GB2312" w:eastAsia="仿宋_GB2312" w:cs="仿宋_GB2312"/>
          <w:i w:val="0"/>
          <w:caps w:val="0"/>
          <w:color w:val="000000"/>
          <w:spacing w:val="0"/>
          <w:kern w:val="2"/>
          <w:sz w:val="32"/>
          <w:szCs w:val="32"/>
          <w:highlight w:val="none"/>
          <w:lang w:val="en-US" w:eastAsia="zh-CN" w:bidi="ar-SA"/>
        </w:rPr>
        <w:t>1.截止时间：2025年 4月29日16:00。</w:t>
      </w:r>
    </w:p>
    <w:p w14:paraId="74E91E24">
      <w:pPr>
        <w:pStyle w:val="13"/>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i w:val="0"/>
          <w:caps w:val="0"/>
          <w:color w:val="000000"/>
          <w:spacing w:val="0"/>
          <w:sz w:val="32"/>
          <w:szCs w:val="32"/>
          <w:highlight w:val="none"/>
          <w:lang w:val="en-US" w:eastAsia="zh-CN"/>
        </w:rPr>
      </w:pPr>
      <w:r>
        <w:rPr>
          <w:rFonts w:hint="eastAsia" w:ascii="仿宋_GB2312" w:hAnsi="仿宋_GB2312" w:eastAsia="仿宋_GB2312" w:cs="仿宋_GB2312"/>
          <w:i w:val="0"/>
          <w:caps w:val="0"/>
          <w:color w:val="000000"/>
          <w:spacing w:val="0"/>
          <w:kern w:val="2"/>
          <w:sz w:val="32"/>
          <w:szCs w:val="32"/>
          <w:highlight w:val="none"/>
          <w:lang w:val="en-US" w:eastAsia="zh-CN" w:bidi="ar-SA"/>
        </w:rPr>
        <w:t>2.报名方式：</w:t>
      </w:r>
      <w:r>
        <w:rPr>
          <w:rFonts w:hint="eastAsia" w:ascii="仿宋_GB2312" w:hAnsi="仿宋_GB2312" w:eastAsia="仿宋_GB2312" w:cs="仿宋_GB2312"/>
          <w:i w:val="0"/>
          <w:caps w:val="0"/>
          <w:color w:val="000000"/>
          <w:spacing w:val="0"/>
          <w:sz w:val="32"/>
          <w:szCs w:val="32"/>
          <w:highlight w:val="none"/>
          <w:lang w:val="en-US" w:eastAsia="zh-CN"/>
        </w:rPr>
        <w:fldChar w:fldCharType="begin"/>
      </w:r>
      <w:r>
        <w:rPr>
          <w:rFonts w:hint="eastAsia" w:ascii="仿宋_GB2312" w:hAnsi="仿宋_GB2312" w:eastAsia="仿宋_GB2312" w:cs="仿宋_GB2312"/>
          <w:i w:val="0"/>
          <w:caps w:val="0"/>
          <w:color w:val="000000"/>
          <w:spacing w:val="0"/>
          <w:sz w:val="32"/>
          <w:szCs w:val="32"/>
          <w:highlight w:val="none"/>
          <w:lang w:val="en-US" w:eastAsia="zh-CN"/>
        </w:rPr>
        <w:instrText xml:space="preserve"> HYPERLINK "mailto:将《报名表》及投标保证金转账回执单的扫描件发送至邮箱gxjygz@163.com（发送成功会有已接收回复邮件）。截标时间前报名有效（以邮件接收时间为准）。" </w:instrText>
      </w:r>
      <w:r>
        <w:rPr>
          <w:rFonts w:hint="eastAsia" w:ascii="仿宋_GB2312" w:hAnsi="仿宋_GB2312" w:eastAsia="仿宋_GB2312" w:cs="仿宋_GB2312"/>
          <w:i w:val="0"/>
          <w:caps w:val="0"/>
          <w:color w:val="000000"/>
          <w:spacing w:val="0"/>
          <w:sz w:val="32"/>
          <w:szCs w:val="32"/>
          <w:highlight w:val="none"/>
          <w:lang w:val="en-US" w:eastAsia="zh-CN"/>
        </w:rPr>
        <w:fldChar w:fldCharType="separate"/>
      </w:r>
      <w:r>
        <w:rPr>
          <w:rFonts w:hint="eastAsia" w:ascii="仿宋_GB2312" w:hAnsi="仿宋_GB2312" w:eastAsia="仿宋_GB2312" w:cs="仿宋_GB2312"/>
          <w:i w:val="0"/>
          <w:caps w:val="0"/>
          <w:color w:val="000000"/>
          <w:spacing w:val="0"/>
          <w:sz w:val="32"/>
          <w:szCs w:val="32"/>
          <w:highlight w:val="none"/>
          <w:lang w:val="en-US" w:eastAsia="zh-CN"/>
        </w:rPr>
        <w:t>将《报名表》及《投标（响应）保证金转账回执单》的扫描件（加盖公章有效）发送至邮箱gxjygz@163.com。截止时间前报名有效（以邮件接收时间为准），</w:t>
      </w:r>
      <w:r>
        <w:rPr>
          <w:rFonts w:hint="eastAsia" w:ascii="仿宋_GB2312" w:hAnsi="仿宋_GB2312" w:eastAsia="仿宋_GB2312" w:cs="仿宋_GB2312"/>
          <w:sz w:val="32"/>
          <w:szCs w:val="32"/>
          <w:highlight w:val="none"/>
          <w:lang w:val="en-US" w:eastAsia="zh-CN"/>
        </w:rPr>
        <w:t>报名成功会收到邮箱自动回执信息</w:t>
      </w:r>
      <w:r>
        <w:rPr>
          <w:rFonts w:hint="eastAsia" w:ascii="仿宋_GB2312" w:hAnsi="仿宋_GB2312" w:eastAsia="仿宋_GB2312" w:cs="仿宋_GB2312"/>
          <w:i w:val="0"/>
          <w:caps w:val="0"/>
          <w:color w:val="000000"/>
          <w:spacing w:val="0"/>
          <w:sz w:val="32"/>
          <w:szCs w:val="32"/>
          <w:highlight w:val="none"/>
          <w:lang w:val="en-US" w:eastAsia="zh-CN"/>
        </w:rPr>
        <w:t>。</w:t>
      </w:r>
      <w:r>
        <w:rPr>
          <w:rFonts w:hint="eastAsia" w:ascii="仿宋_GB2312" w:hAnsi="仿宋_GB2312" w:eastAsia="仿宋_GB2312" w:cs="仿宋_GB2312"/>
          <w:i w:val="0"/>
          <w:caps w:val="0"/>
          <w:color w:val="000000"/>
          <w:spacing w:val="0"/>
          <w:sz w:val="32"/>
          <w:szCs w:val="32"/>
          <w:highlight w:val="none"/>
          <w:lang w:val="en-US" w:eastAsia="zh-CN"/>
        </w:rPr>
        <w:fldChar w:fldCharType="end"/>
      </w:r>
    </w:p>
    <w:p w14:paraId="6955E095">
      <w:pPr>
        <w:pageBreakBefore w:val="0"/>
        <w:shd w:val="clear"/>
        <w:kinsoku/>
        <w:wordWrap/>
        <w:overflowPunct/>
        <w:topLinePunct w:val="0"/>
        <w:autoSpaceDE/>
        <w:autoSpaceDN/>
        <w:bidi w:val="0"/>
        <w:adjustRightInd/>
        <w:snapToGrid/>
        <w:spacing w:line="560" w:lineRule="exact"/>
        <w:ind w:firstLine="640" w:firstLineChars="200"/>
        <w:textAlignment w:val="auto"/>
        <w:rPr>
          <w:rStyle w:val="18"/>
          <w:rFonts w:hint="eastAsia" w:ascii="仿宋_GB2312" w:hAnsi="仿宋_GB2312" w:eastAsia="仿宋_GB2312" w:cs="仿宋_GB2312"/>
          <w:color w:val="auto"/>
          <w:sz w:val="32"/>
          <w:szCs w:val="32"/>
          <w:highlight w:val="none"/>
          <w:u w:val="none"/>
          <w:lang w:val="en-US" w:eastAsia="zh-CN"/>
        </w:rPr>
      </w:pPr>
      <w:r>
        <w:rPr>
          <w:rStyle w:val="18"/>
          <w:rFonts w:hint="eastAsia" w:ascii="仿宋_GB2312" w:hAnsi="仿宋_GB2312" w:eastAsia="仿宋_GB2312" w:cs="仿宋_GB2312"/>
          <w:color w:val="auto"/>
          <w:kern w:val="2"/>
          <w:sz w:val="32"/>
          <w:szCs w:val="32"/>
          <w:highlight w:val="none"/>
          <w:u w:val="none"/>
          <w:lang w:val="en-US" w:eastAsia="zh-CN" w:bidi="ar-SA"/>
        </w:rPr>
        <w:t>本项目收取预算金额1</w:t>
      </w:r>
      <w:r>
        <w:rPr>
          <w:rStyle w:val="18"/>
          <w:rFonts w:hint="eastAsia" w:ascii="仿宋_GB2312" w:hAnsi="仿宋_GB2312" w:eastAsia="仿宋_GB2312" w:cs="仿宋_GB2312"/>
          <w:color w:val="auto"/>
          <w:kern w:val="2"/>
          <w:sz w:val="32"/>
          <w:szCs w:val="32"/>
          <w:highlight w:val="none"/>
          <w:u w:val="none"/>
          <w:shd w:val="clear"/>
          <w:lang w:val="en-US" w:eastAsia="zh-CN" w:bidi="ar-SA"/>
        </w:rPr>
        <w:t>%</w:t>
      </w:r>
      <w:r>
        <w:rPr>
          <w:rFonts w:hint="eastAsia" w:ascii="仿宋_GB2312" w:hAnsi="仿宋_GB2312" w:eastAsia="仿宋_GB2312" w:cs="仿宋_GB2312"/>
          <w:sz w:val="32"/>
          <w:szCs w:val="32"/>
          <w:highlight w:val="none"/>
          <w:shd w:val="clear"/>
          <w:lang w:val="en-US" w:eastAsia="zh-CN"/>
        </w:rPr>
        <w:t>（人民币8470元）作为投</w:t>
      </w:r>
      <w:r>
        <w:rPr>
          <w:rFonts w:hint="eastAsia" w:ascii="仿宋_GB2312" w:hAnsi="仿宋_GB2312" w:eastAsia="仿宋_GB2312" w:cs="仿宋_GB2312"/>
          <w:sz w:val="32"/>
          <w:szCs w:val="32"/>
          <w:highlight w:val="none"/>
          <w:lang w:val="en-US" w:eastAsia="zh-CN"/>
        </w:rPr>
        <w:t>标（响应）保证金，并依法退还（原途）。</w:t>
      </w:r>
      <w:r>
        <w:rPr>
          <w:rStyle w:val="18"/>
          <w:rFonts w:hint="eastAsia" w:ascii="仿宋_GB2312" w:hAnsi="仿宋_GB2312" w:eastAsia="仿宋_GB2312" w:cs="仿宋_GB2312"/>
          <w:color w:val="auto"/>
          <w:sz w:val="32"/>
          <w:szCs w:val="32"/>
          <w:highlight w:val="none"/>
          <w:u w:val="none"/>
          <w:lang w:val="en-US" w:eastAsia="zh-CN"/>
        </w:rPr>
        <w:t>保证金必须通过报价企业的银行账户转帐，并在转帐单上注明</w:t>
      </w:r>
      <w:r>
        <w:rPr>
          <w:rStyle w:val="18"/>
          <w:rFonts w:hint="eastAsia" w:ascii="仿宋_GB2312" w:hAnsi="仿宋_GB2312" w:eastAsia="仿宋_GB2312" w:cs="仿宋_GB2312"/>
          <w:b/>
          <w:bCs/>
          <w:color w:val="auto"/>
          <w:sz w:val="32"/>
          <w:szCs w:val="32"/>
          <w:highlight w:val="none"/>
          <w:u w:val="none"/>
          <w:lang w:val="en-US" w:eastAsia="zh-CN"/>
        </w:rPr>
        <w:t>项目名称及用途</w:t>
      </w:r>
      <w:r>
        <w:rPr>
          <w:rStyle w:val="18"/>
          <w:rFonts w:hint="eastAsia" w:ascii="仿宋_GB2312" w:hAnsi="仿宋_GB2312" w:eastAsia="仿宋_GB2312" w:cs="仿宋_GB2312"/>
          <w:color w:val="auto"/>
          <w:sz w:val="32"/>
          <w:szCs w:val="32"/>
          <w:highlight w:val="none"/>
          <w:u w:val="none"/>
          <w:lang w:val="en-US" w:eastAsia="zh-CN"/>
        </w:rPr>
        <w:t>。（投标</w:t>
      </w:r>
      <w:r>
        <w:rPr>
          <w:rFonts w:hint="eastAsia" w:ascii="仿宋_GB2312" w:hAnsi="仿宋_GB2312" w:eastAsia="仿宋_GB2312" w:cs="仿宋_GB2312"/>
          <w:sz w:val="32"/>
          <w:szCs w:val="32"/>
          <w:highlight w:val="none"/>
          <w:lang w:val="en-US" w:eastAsia="zh-CN"/>
        </w:rPr>
        <w:t>（响应）</w:t>
      </w:r>
      <w:r>
        <w:rPr>
          <w:rStyle w:val="18"/>
          <w:rFonts w:hint="eastAsia" w:ascii="仿宋_GB2312" w:hAnsi="仿宋_GB2312" w:eastAsia="仿宋_GB2312" w:cs="仿宋_GB2312"/>
          <w:color w:val="auto"/>
          <w:sz w:val="32"/>
          <w:szCs w:val="32"/>
          <w:highlight w:val="none"/>
          <w:u w:val="none"/>
          <w:lang w:val="en-US" w:eastAsia="zh-CN"/>
        </w:rPr>
        <w:t>保证金账户名：广西警察学院；开户银行：中国银行东葛支行；账号：617159392963）</w:t>
      </w:r>
    </w:p>
    <w:p w14:paraId="7DB118C7">
      <w:pPr>
        <w:pageBreakBefore w:val="0"/>
        <w:shd w:val="clear"/>
        <w:kinsoku/>
        <w:wordWrap/>
        <w:overflowPunct/>
        <w:topLinePunct w:val="0"/>
        <w:autoSpaceDE/>
        <w:autoSpaceDN/>
        <w:bidi w:val="0"/>
        <w:adjustRightInd/>
        <w:snapToGrid/>
        <w:spacing w:line="560" w:lineRule="exact"/>
        <w:ind w:firstLine="640" w:firstLineChars="200"/>
        <w:textAlignment w:val="auto"/>
        <w:rPr>
          <w:rStyle w:val="18"/>
          <w:rFonts w:hint="eastAsia" w:ascii="仿宋_GB2312" w:hAnsi="仿宋_GB2312" w:eastAsia="仿宋_GB2312" w:cs="仿宋_GB2312"/>
          <w:color w:val="auto"/>
          <w:sz w:val="32"/>
          <w:szCs w:val="32"/>
          <w:highlight w:val="none"/>
          <w:u w:val="none"/>
          <w:lang w:val="en-US" w:eastAsia="zh-CN"/>
        </w:rPr>
      </w:pPr>
      <w:r>
        <w:rPr>
          <w:rStyle w:val="18"/>
          <w:rFonts w:hint="eastAsia" w:ascii="仿宋_GB2312" w:hAnsi="仿宋_GB2312" w:eastAsia="仿宋_GB2312" w:cs="仿宋_GB2312"/>
          <w:color w:val="auto"/>
          <w:sz w:val="32"/>
          <w:szCs w:val="32"/>
          <w:highlight w:val="none"/>
          <w:u w:val="none"/>
          <w:lang w:val="en-US" w:eastAsia="zh-CN"/>
        </w:rPr>
        <w:t>注：已参加第一次询价报名并缴纳保证金的企业，此次参与无须重复缴纳，附第一次保证金回执单即可。</w:t>
      </w:r>
    </w:p>
    <w:p w14:paraId="55F08E5A">
      <w:pPr>
        <w:pStyle w:val="13"/>
        <w:keepNext w:val="0"/>
        <w:keepLines w:val="0"/>
        <w:pageBreakBefore w:val="0"/>
        <w:widowControl/>
        <w:numPr>
          <w:ilvl w:val="0"/>
          <w:numId w:val="2"/>
        </w:numPr>
        <w:suppressLineNumbers w:val="0"/>
        <w:shd w:val="clear"/>
        <w:kinsoku/>
        <w:wordWrap/>
        <w:overflowPunct/>
        <w:topLinePunct w:val="0"/>
        <w:autoSpaceDE/>
        <w:autoSpaceDN/>
        <w:bidi w:val="0"/>
        <w:adjustRightInd/>
        <w:snapToGrid/>
        <w:spacing w:beforeAutospacing="0" w:afterAutospacing="0" w:line="560" w:lineRule="exact"/>
        <w:ind w:left="0" w:firstLine="480"/>
        <w:textAlignment w:val="auto"/>
        <w:outlineLvl w:val="9"/>
        <w:rPr>
          <w:rStyle w:val="17"/>
          <w:rFonts w:hint="eastAsia" w:ascii="仿宋_GB2312" w:hAnsi="仿宋_GB2312" w:eastAsia="仿宋_GB2312" w:cs="仿宋_GB2312"/>
          <w:i w:val="0"/>
          <w:caps w:val="0"/>
          <w:color w:val="000000"/>
          <w:spacing w:val="0"/>
          <w:sz w:val="32"/>
          <w:szCs w:val="32"/>
          <w:highlight w:val="none"/>
        </w:rPr>
      </w:pPr>
      <w:r>
        <w:rPr>
          <w:rStyle w:val="17"/>
          <w:rFonts w:hint="eastAsia" w:ascii="仿宋_GB2312" w:hAnsi="仿宋_GB2312" w:eastAsia="仿宋_GB2312" w:cs="仿宋_GB2312"/>
          <w:i w:val="0"/>
          <w:caps w:val="0"/>
          <w:color w:val="000000"/>
          <w:spacing w:val="0"/>
          <w:sz w:val="32"/>
          <w:szCs w:val="32"/>
          <w:highlight w:val="none"/>
        </w:rPr>
        <w:t>报价要求</w:t>
      </w:r>
    </w:p>
    <w:p w14:paraId="43B7B65C">
      <w:pPr>
        <w:pStyle w:val="13"/>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Autospacing="0" w:afterAutospacing="0" w:line="560" w:lineRule="exact"/>
        <w:ind w:right="0" w:rightChars="0" w:firstLine="643" w:firstLineChars="200"/>
        <w:jc w:val="left"/>
        <w:textAlignment w:val="auto"/>
        <w:outlineLvl w:val="9"/>
        <w:rPr>
          <w:rStyle w:val="17"/>
          <w:rFonts w:hint="default" w:ascii="仿宋_GB2312" w:hAnsi="仿宋_GB2312" w:eastAsia="仿宋_GB2312" w:cs="仿宋_GB2312"/>
          <w:b w:val="0"/>
          <w:bCs/>
          <w:i w:val="0"/>
          <w:caps w:val="0"/>
          <w:color w:val="000000"/>
          <w:spacing w:val="0"/>
          <w:sz w:val="32"/>
          <w:szCs w:val="32"/>
          <w:highlight w:val="none"/>
          <w:lang w:val="en-US" w:eastAsia="zh-CN"/>
        </w:rPr>
      </w:pPr>
      <w:r>
        <w:rPr>
          <w:rStyle w:val="17"/>
          <w:rFonts w:hint="eastAsia" w:ascii="仿宋_GB2312" w:hAnsi="仿宋_GB2312" w:eastAsia="仿宋_GB2312" w:cs="仿宋_GB2312"/>
          <w:b/>
          <w:bCs w:val="0"/>
          <w:i w:val="0"/>
          <w:caps w:val="0"/>
          <w:color w:val="000000"/>
          <w:spacing w:val="0"/>
          <w:sz w:val="32"/>
          <w:szCs w:val="32"/>
          <w:highlight w:val="none"/>
          <w:lang w:val="en-US" w:eastAsia="zh-CN"/>
        </w:rPr>
        <w:t>1.报价时间</w:t>
      </w:r>
      <w:r>
        <w:rPr>
          <w:rStyle w:val="17"/>
          <w:rFonts w:hint="eastAsia" w:ascii="仿宋_GB2312" w:hAnsi="仿宋_GB2312" w:eastAsia="仿宋_GB2312" w:cs="仿宋_GB2312"/>
          <w:b w:val="0"/>
          <w:bCs/>
          <w:i w:val="0"/>
          <w:caps w:val="0"/>
          <w:color w:val="000000"/>
          <w:spacing w:val="0"/>
          <w:sz w:val="32"/>
          <w:szCs w:val="32"/>
          <w:highlight w:val="none"/>
          <w:lang w:val="en-US" w:eastAsia="zh-CN"/>
        </w:rPr>
        <w:t>：供应商报名成功后，须在2025年4月29日15:30-16:00提交报价材料至南宁市军堂路6号广西警察学院主楼1502室（其他时间不予受理），联系人：陶老师0771-5615802。</w:t>
      </w:r>
    </w:p>
    <w:p w14:paraId="2BEB7018">
      <w:pPr>
        <w:pStyle w:val="13"/>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Autospacing="0" w:afterAutospacing="0" w:line="560" w:lineRule="exact"/>
        <w:ind w:left="480" w:leftChars="0" w:right="0" w:rightChars="0"/>
        <w:textAlignment w:val="auto"/>
        <w:outlineLvl w:val="9"/>
        <w:rPr>
          <w:rStyle w:val="17"/>
          <w:rFonts w:hint="default" w:ascii="仿宋_GB2312" w:hAnsi="仿宋_GB2312" w:eastAsia="仿宋_GB2312" w:cs="仿宋_GB2312"/>
          <w:i w:val="0"/>
          <w:caps w:val="0"/>
          <w:color w:val="000000"/>
          <w:spacing w:val="0"/>
          <w:sz w:val="32"/>
          <w:szCs w:val="32"/>
          <w:highlight w:val="none"/>
          <w:lang w:val="en-US" w:eastAsia="zh-CN"/>
        </w:rPr>
      </w:pPr>
      <w:r>
        <w:rPr>
          <w:rStyle w:val="17"/>
          <w:rFonts w:hint="eastAsia" w:ascii="仿宋_GB2312" w:hAnsi="仿宋_GB2312" w:eastAsia="仿宋_GB2312" w:cs="仿宋_GB2312"/>
          <w:i w:val="0"/>
          <w:caps w:val="0"/>
          <w:color w:val="000000"/>
          <w:spacing w:val="0"/>
          <w:sz w:val="32"/>
          <w:szCs w:val="32"/>
          <w:highlight w:val="none"/>
          <w:lang w:val="en-US" w:eastAsia="zh-CN"/>
        </w:rPr>
        <w:t>2.报价材料要求</w:t>
      </w:r>
    </w:p>
    <w:p w14:paraId="22E62EBC">
      <w:pPr>
        <w:pStyle w:val="1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60" w:lineRule="exact"/>
        <w:ind w:left="0" w:firstLine="480"/>
        <w:textAlignment w:val="auto"/>
        <w:outlineLvl w:val="9"/>
        <w:rPr>
          <w:rFonts w:hint="eastAsia" w:ascii="仿宋_GB2312" w:hAnsi="仿宋_GB2312" w:eastAsia="仿宋_GB2312" w:cs="仿宋_GB2312"/>
          <w:i w:val="0"/>
          <w:caps w:val="0"/>
          <w:color w:val="000000"/>
          <w:spacing w:val="0"/>
          <w:sz w:val="32"/>
          <w:szCs w:val="32"/>
          <w:highlight w:val="none"/>
          <w:lang w:val="en-US" w:eastAsia="zh-CN"/>
        </w:rPr>
      </w:pPr>
      <w:r>
        <w:rPr>
          <w:rFonts w:hint="eastAsia" w:ascii="仿宋_GB2312" w:hAnsi="仿宋_GB2312" w:eastAsia="仿宋_GB2312" w:cs="仿宋_GB2312"/>
          <w:i w:val="0"/>
          <w:caps w:val="0"/>
          <w:color w:val="000000"/>
          <w:spacing w:val="0"/>
          <w:sz w:val="32"/>
          <w:szCs w:val="32"/>
          <w:highlight w:val="none"/>
          <w:lang w:val="en-US" w:eastAsia="zh-CN"/>
        </w:rPr>
        <w:t>（1）报名表（附件1）；</w:t>
      </w:r>
      <w:r>
        <w:rPr>
          <w:rStyle w:val="17"/>
          <w:rFonts w:hint="eastAsia" w:ascii="仿宋_GB2312" w:hAnsi="仿宋_GB2312" w:eastAsia="仿宋_GB2312" w:cs="仿宋_GB2312"/>
          <w:i w:val="0"/>
          <w:caps w:val="0"/>
          <w:color w:val="000000"/>
          <w:spacing w:val="0"/>
          <w:sz w:val="32"/>
          <w:szCs w:val="32"/>
          <w:highlight w:val="none"/>
          <w:lang w:val="en-US" w:eastAsia="zh-CN"/>
        </w:rPr>
        <w:t>（必须提供）</w:t>
      </w:r>
    </w:p>
    <w:p w14:paraId="1BEC0395">
      <w:pPr>
        <w:pStyle w:val="1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60" w:lineRule="exact"/>
        <w:ind w:left="0" w:firstLine="480"/>
        <w:textAlignment w:val="auto"/>
        <w:outlineLvl w:val="9"/>
        <w:rPr>
          <w:rStyle w:val="17"/>
          <w:rFonts w:hint="eastAsia" w:ascii="仿宋_GB2312" w:hAnsi="仿宋_GB2312" w:eastAsia="仿宋_GB2312" w:cs="仿宋_GB2312"/>
          <w:i w:val="0"/>
          <w:caps w:val="0"/>
          <w:color w:val="000000"/>
          <w:spacing w:val="0"/>
          <w:sz w:val="32"/>
          <w:szCs w:val="32"/>
          <w:highlight w:val="none"/>
          <w:lang w:val="en-US" w:eastAsia="zh-CN"/>
        </w:rPr>
      </w:pPr>
      <w:r>
        <w:rPr>
          <w:rFonts w:hint="eastAsia" w:ascii="仿宋_GB2312" w:hAnsi="仿宋_GB2312" w:eastAsia="仿宋_GB2312" w:cs="仿宋_GB2312"/>
          <w:i w:val="0"/>
          <w:caps w:val="0"/>
          <w:color w:val="000000"/>
          <w:spacing w:val="0"/>
          <w:sz w:val="32"/>
          <w:szCs w:val="32"/>
          <w:highlight w:val="none"/>
          <w:lang w:val="en-US" w:eastAsia="zh-CN"/>
        </w:rPr>
        <w:t>（2）报价单（附件2）；</w:t>
      </w:r>
      <w:r>
        <w:rPr>
          <w:rStyle w:val="17"/>
          <w:rFonts w:hint="eastAsia" w:ascii="仿宋_GB2312" w:hAnsi="仿宋_GB2312" w:eastAsia="仿宋_GB2312" w:cs="仿宋_GB2312"/>
          <w:i w:val="0"/>
          <w:caps w:val="0"/>
          <w:color w:val="000000"/>
          <w:spacing w:val="0"/>
          <w:sz w:val="32"/>
          <w:szCs w:val="32"/>
          <w:highlight w:val="none"/>
          <w:lang w:val="en-US" w:eastAsia="zh-CN"/>
        </w:rPr>
        <w:t>（必须提供）</w:t>
      </w:r>
    </w:p>
    <w:p w14:paraId="55541B84">
      <w:pPr>
        <w:pStyle w:val="1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60" w:lineRule="exact"/>
        <w:ind w:left="0" w:firstLine="480"/>
        <w:textAlignment w:val="auto"/>
        <w:outlineLvl w:val="9"/>
        <w:rPr>
          <w:rStyle w:val="17"/>
          <w:rFonts w:hint="eastAsia" w:ascii="仿宋_GB2312" w:hAnsi="仿宋_GB2312" w:eastAsia="仿宋_GB2312" w:cs="仿宋_GB2312"/>
          <w:i w:val="0"/>
          <w:caps w:val="0"/>
          <w:color w:val="000000"/>
          <w:spacing w:val="0"/>
          <w:sz w:val="32"/>
          <w:szCs w:val="32"/>
          <w:highlight w:val="none"/>
          <w:lang w:val="en-US" w:eastAsia="zh-CN"/>
        </w:rPr>
      </w:pPr>
      <w:r>
        <w:rPr>
          <w:rStyle w:val="17"/>
          <w:rFonts w:hint="eastAsia" w:ascii="仿宋_GB2312" w:hAnsi="仿宋_GB2312" w:eastAsia="仿宋_GB2312" w:cs="仿宋_GB2312"/>
          <w:b w:val="0"/>
          <w:bCs/>
          <w:i w:val="0"/>
          <w:caps w:val="0"/>
          <w:color w:val="000000"/>
          <w:spacing w:val="0"/>
          <w:sz w:val="32"/>
          <w:szCs w:val="32"/>
          <w:highlight w:val="none"/>
          <w:lang w:val="en-US" w:eastAsia="zh-CN"/>
        </w:rPr>
        <w:t>（3）投标（响应）保证金回执单；</w:t>
      </w:r>
      <w:r>
        <w:rPr>
          <w:rStyle w:val="17"/>
          <w:rFonts w:hint="eastAsia" w:ascii="仿宋_GB2312" w:hAnsi="仿宋_GB2312" w:eastAsia="仿宋_GB2312" w:cs="仿宋_GB2312"/>
          <w:i w:val="0"/>
          <w:caps w:val="0"/>
          <w:color w:val="000000"/>
          <w:spacing w:val="0"/>
          <w:sz w:val="32"/>
          <w:szCs w:val="32"/>
          <w:highlight w:val="none"/>
          <w:lang w:val="en-US" w:eastAsia="zh-CN"/>
        </w:rPr>
        <w:t>（必须提供）</w:t>
      </w:r>
    </w:p>
    <w:p w14:paraId="378D2BBE">
      <w:pPr>
        <w:pStyle w:val="1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60" w:lineRule="exact"/>
        <w:ind w:left="0" w:firstLine="480"/>
        <w:textAlignment w:val="auto"/>
        <w:outlineLvl w:val="9"/>
        <w:rPr>
          <w:rStyle w:val="17"/>
          <w:rFonts w:hint="eastAsia" w:ascii="仿宋_GB2312" w:hAnsi="仿宋_GB2312" w:eastAsia="仿宋_GB2312" w:cs="仿宋_GB2312"/>
          <w:i w:val="0"/>
          <w:caps w:val="0"/>
          <w:color w:val="000000"/>
          <w:spacing w:val="0"/>
          <w:sz w:val="32"/>
          <w:szCs w:val="32"/>
          <w:highlight w:val="none"/>
        </w:rPr>
      </w:pPr>
      <w:r>
        <w:rPr>
          <w:rStyle w:val="17"/>
          <w:rFonts w:hint="eastAsia" w:ascii="仿宋_GB2312" w:hAnsi="仿宋_GB2312" w:eastAsia="仿宋_GB2312" w:cs="仿宋_GB2312"/>
          <w:b w:val="0"/>
          <w:bCs/>
          <w:i w:val="0"/>
          <w:caps w:val="0"/>
          <w:color w:val="000000"/>
          <w:spacing w:val="0"/>
          <w:sz w:val="32"/>
          <w:szCs w:val="32"/>
          <w:highlight w:val="none"/>
          <w:lang w:val="en-US" w:eastAsia="zh-CN"/>
        </w:rPr>
        <w:t>（4）</w:t>
      </w:r>
      <w:r>
        <w:rPr>
          <w:rFonts w:hint="eastAsia" w:ascii="仿宋_GB2312" w:hAnsi="仿宋_GB2312" w:eastAsia="仿宋_GB2312" w:cs="仿宋_GB2312"/>
          <w:b w:val="0"/>
          <w:bCs/>
          <w:i w:val="0"/>
          <w:caps w:val="0"/>
          <w:color w:val="000000"/>
          <w:spacing w:val="0"/>
          <w:sz w:val="32"/>
          <w:szCs w:val="32"/>
          <w:highlight w:val="none"/>
        </w:rPr>
        <w:t>供应商</w:t>
      </w:r>
      <w:r>
        <w:rPr>
          <w:rFonts w:hint="eastAsia" w:ascii="仿宋_GB2312" w:hAnsi="仿宋_GB2312" w:eastAsia="仿宋_GB2312" w:cs="仿宋_GB2312"/>
          <w:b w:val="0"/>
          <w:bCs/>
          <w:i w:val="0"/>
          <w:caps w:val="0"/>
          <w:color w:val="000000"/>
          <w:spacing w:val="0"/>
          <w:sz w:val="32"/>
          <w:szCs w:val="32"/>
          <w:highlight w:val="none"/>
          <w:lang w:val="en-US" w:eastAsia="zh-CN"/>
        </w:rPr>
        <w:t>有效</w:t>
      </w:r>
      <w:r>
        <w:rPr>
          <w:rFonts w:hint="eastAsia" w:ascii="仿宋_GB2312" w:hAnsi="仿宋_GB2312" w:eastAsia="仿宋_GB2312" w:cs="仿宋_GB2312"/>
          <w:i w:val="0"/>
          <w:caps w:val="0"/>
          <w:color w:val="000000"/>
          <w:spacing w:val="0"/>
          <w:sz w:val="32"/>
          <w:szCs w:val="32"/>
          <w:highlight w:val="none"/>
        </w:rPr>
        <w:t>的资格证明（营业执照</w:t>
      </w:r>
      <w:r>
        <w:rPr>
          <w:rFonts w:hint="eastAsia" w:ascii="仿宋_GB2312" w:hAnsi="仿宋_GB2312" w:eastAsia="仿宋_GB2312" w:cs="仿宋_GB2312"/>
          <w:i w:val="0"/>
          <w:caps w:val="0"/>
          <w:color w:val="000000"/>
          <w:spacing w:val="0"/>
          <w:sz w:val="32"/>
          <w:szCs w:val="32"/>
          <w:highlight w:val="none"/>
          <w:lang w:val="en-US" w:eastAsia="zh-CN"/>
        </w:rPr>
        <w:t>等</w:t>
      </w:r>
      <w:r>
        <w:rPr>
          <w:rFonts w:hint="eastAsia" w:ascii="仿宋_GB2312" w:hAnsi="仿宋_GB2312" w:eastAsia="仿宋_GB2312" w:cs="仿宋_GB2312"/>
          <w:i w:val="0"/>
          <w:caps w:val="0"/>
          <w:color w:val="000000"/>
          <w:spacing w:val="0"/>
          <w:sz w:val="32"/>
          <w:szCs w:val="32"/>
          <w:highlight w:val="none"/>
        </w:rPr>
        <w:t>）复印件；</w:t>
      </w:r>
      <w:r>
        <w:rPr>
          <w:rStyle w:val="17"/>
          <w:rFonts w:hint="eastAsia" w:ascii="仿宋_GB2312" w:hAnsi="仿宋_GB2312" w:eastAsia="仿宋_GB2312" w:cs="仿宋_GB2312"/>
          <w:i w:val="0"/>
          <w:caps w:val="0"/>
          <w:color w:val="000000"/>
          <w:spacing w:val="0"/>
          <w:sz w:val="32"/>
          <w:szCs w:val="32"/>
          <w:highlight w:val="none"/>
        </w:rPr>
        <w:t>（必须提供）</w:t>
      </w:r>
    </w:p>
    <w:p w14:paraId="5DECE9E7">
      <w:pPr>
        <w:pStyle w:val="1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60" w:lineRule="exact"/>
        <w:ind w:left="0" w:firstLine="480"/>
        <w:textAlignment w:val="auto"/>
        <w:outlineLvl w:val="9"/>
        <w:rPr>
          <w:rStyle w:val="17"/>
          <w:rFonts w:hint="eastAsia" w:ascii="仿宋_GB2312" w:hAnsi="仿宋_GB2312" w:eastAsia="仿宋_GB2312" w:cs="仿宋_GB2312"/>
          <w:b w:val="0"/>
          <w:bCs/>
          <w:i w:val="0"/>
          <w:caps w:val="0"/>
          <w:color w:val="000000"/>
          <w:spacing w:val="0"/>
          <w:sz w:val="32"/>
          <w:szCs w:val="32"/>
          <w:highlight w:val="none"/>
          <w:lang w:val="en-US" w:eastAsia="zh-CN"/>
        </w:rPr>
      </w:pPr>
      <w:r>
        <w:rPr>
          <w:rStyle w:val="17"/>
          <w:rFonts w:hint="eastAsia" w:ascii="仿宋_GB2312" w:hAnsi="仿宋_GB2312" w:eastAsia="仿宋_GB2312" w:cs="仿宋_GB2312"/>
          <w:b w:val="0"/>
          <w:bCs/>
          <w:i w:val="0"/>
          <w:caps w:val="0"/>
          <w:color w:val="000000"/>
          <w:spacing w:val="0"/>
          <w:sz w:val="32"/>
          <w:szCs w:val="32"/>
          <w:highlight w:val="none"/>
          <w:lang w:val="en-US" w:eastAsia="zh-CN"/>
        </w:rPr>
        <w:t>（5）</w:t>
      </w:r>
      <w:r>
        <w:rPr>
          <w:rFonts w:hint="eastAsia" w:ascii="仿宋_GB2312" w:hAnsi="仿宋_GB2312" w:eastAsia="仿宋_GB2312" w:cs="仿宋_GB2312"/>
          <w:b w:val="0"/>
          <w:bCs w:val="0"/>
          <w:kern w:val="2"/>
          <w:sz w:val="32"/>
          <w:szCs w:val="32"/>
          <w:highlight w:val="none"/>
          <w:shd w:val="clear"/>
          <w:lang w:val="en-US" w:eastAsia="zh-CN" w:bidi="ar-SA"/>
        </w:rPr>
        <w:t>供应商在“信用中国”(www.creditchina.gov.cn)网站中的信用查询记录；</w:t>
      </w:r>
      <w:r>
        <w:rPr>
          <w:rFonts w:hint="eastAsia" w:ascii="仿宋_GB2312" w:hAnsi="仿宋_GB2312" w:eastAsia="仿宋_GB2312" w:cs="仿宋_GB2312"/>
          <w:b/>
          <w:bCs/>
          <w:kern w:val="2"/>
          <w:sz w:val="32"/>
          <w:szCs w:val="32"/>
          <w:highlight w:val="none"/>
          <w:shd w:val="clear"/>
          <w:lang w:val="en-US" w:eastAsia="zh-CN" w:bidi="ar-SA"/>
        </w:rPr>
        <w:t>（必须提供）</w:t>
      </w:r>
    </w:p>
    <w:p w14:paraId="283192DF">
      <w:pPr>
        <w:pStyle w:val="1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60" w:lineRule="exact"/>
        <w:ind w:left="0" w:firstLine="480"/>
        <w:textAlignment w:val="auto"/>
        <w:outlineLvl w:val="9"/>
        <w:rPr>
          <w:rFonts w:hint="eastAsia" w:ascii="仿宋_GB2312" w:hAnsi="仿宋_GB2312" w:eastAsia="仿宋_GB2312" w:cs="仿宋_GB2312"/>
          <w:i w:val="0"/>
          <w:caps w:val="0"/>
          <w:color w:val="000000"/>
          <w:spacing w:val="0"/>
          <w:sz w:val="32"/>
          <w:szCs w:val="32"/>
          <w:highlight w:val="none"/>
        </w:rPr>
      </w:pPr>
      <w:r>
        <w:rPr>
          <w:rFonts w:hint="eastAsia" w:ascii="仿宋_GB2312" w:hAnsi="仿宋_GB2312" w:eastAsia="仿宋_GB2312" w:cs="仿宋_GB2312"/>
          <w:i w:val="0"/>
          <w:caps w:val="0"/>
          <w:color w:val="000000"/>
          <w:spacing w:val="0"/>
          <w:sz w:val="32"/>
          <w:szCs w:val="32"/>
          <w:highlight w:val="none"/>
          <w:lang w:val="en-US" w:eastAsia="zh-CN"/>
        </w:rPr>
        <w:t>（6）</w:t>
      </w:r>
      <w:r>
        <w:rPr>
          <w:rFonts w:hint="eastAsia" w:ascii="仿宋_GB2312" w:hAnsi="仿宋_GB2312" w:eastAsia="仿宋_GB2312" w:cs="仿宋_GB2312"/>
          <w:i w:val="0"/>
          <w:caps w:val="0"/>
          <w:color w:val="000000"/>
          <w:spacing w:val="0"/>
          <w:sz w:val="32"/>
          <w:szCs w:val="32"/>
          <w:highlight w:val="none"/>
        </w:rPr>
        <w:t>供应商法定代表人有效身份证正反面复印件；</w:t>
      </w:r>
      <w:r>
        <w:rPr>
          <w:rStyle w:val="17"/>
          <w:rFonts w:hint="eastAsia" w:ascii="仿宋_GB2312" w:hAnsi="仿宋_GB2312" w:eastAsia="仿宋_GB2312" w:cs="仿宋_GB2312"/>
          <w:i w:val="0"/>
          <w:caps w:val="0"/>
          <w:color w:val="000000"/>
          <w:spacing w:val="0"/>
          <w:sz w:val="32"/>
          <w:szCs w:val="32"/>
          <w:highlight w:val="none"/>
        </w:rPr>
        <w:t>（必须提供）</w:t>
      </w:r>
    </w:p>
    <w:p w14:paraId="61E9855D">
      <w:pPr>
        <w:pStyle w:val="1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60" w:lineRule="exact"/>
        <w:ind w:left="0" w:firstLine="480"/>
        <w:textAlignment w:val="auto"/>
        <w:outlineLvl w:val="9"/>
        <w:rPr>
          <w:rStyle w:val="17"/>
          <w:rFonts w:hint="eastAsia" w:ascii="仿宋_GB2312" w:hAnsi="仿宋_GB2312" w:eastAsia="仿宋_GB2312" w:cs="仿宋_GB2312"/>
          <w:i w:val="0"/>
          <w:caps w:val="0"/>
          <w:color w:val="000000"/>
          <w:spacing w:val="0"/>
          <w:sz w:val="32"/>
          <w:szCs w:val="32"/>
          <w:highlight w:val="none"/>
        </w:rPr>
      </w:pPr>
      <w:r>
        <w:rPr>
          <w:rFonts w:hint="eastAsia" w:ascii="仿宋_GB2312" w:hAnsi="仿宋_GB2312" w:eastAsia="仿宋_GB2312" w:cs="仿宋_GB2312"/>
          <w:i w:val="0"/>
          <w:caps w:val="0"/>
          <w:color w:val="000000"/>
          <w:spacing w:val="0"/>
          <w:sz w:val="32"/>
          <w:szCs w:val="32"/>
          <w:highlight w:val="none"/>
          <w:lang w:val="en-US" w:eastAsia="zh-CN"/>
        </w:rPr>
        <w:t>（7）</w:t>
      </w:r>
      <w:r>
        <w:rPr>
          <w:rFonts w:hint="eastAsia" w:ascii="仿宋_GB2312" w:hAnsi="仿宋_GB2312" w:eastAsia="仿宋_GB2312" w:cs="仿宋_GB2312"/>
          <w:i w:val="0"/>
          <w:caps w:val="0"/>
          <w:color w:val="000000"/>
          <w:spacing w:val="0"/>
          <w:sz w:val="32"/>
          <w:szCs w:val="32"/>
          <w:highlight w:val="none"/>
        </w:rPr>
        <w:t>供应商法定代表人授权委托书原件</w:t>
      </w:r>
      <w:r>
        <w:rPr>
          <w:rFonts w:hint="eastAsia" w:ascii="仿宋_GB2312" w:hAnsi="仿宋_GB2312" w:eastAsia="仿宋_GB2312" w:cs="仿宋_GB2312"/>
          <w:i w:val="0"/>
          <w:caps w:val="0"/>
          <w:color w:val="000000"/>
          <w:spacing w:val="0"/>
          <w:sz w:val="32"/>
          <w:szCs w:val="32"/>
          <w:highlight w:val="none"/>
          <w:lang w:val="en-US" w:eastAsia="zh-CN"/>
        </w:rPr>
        <w:t>及</w:t>
      </w:r>
      <w:r>
        <w:rPr>
          <w:rFonts w:hint="eastAsia" w:ascii="仿宋_GB2312" w:hAnsi="仿宋_GB2312" w:eastAsia="仿宋_GB2312" w:cs="仿宋_GB2312"/>
          <w:i w:val="0"/>
          <w:caps w:val="0"/>
          <w:color w:val="000000"/>
          <w:spacing w:val="0"/>
          <w:sz w:val="32"/>
          <w:szCs w:val="32"/>
          <w:highlight w:val="none"/>
        </w:rPr>
        <w:t>被授权人有效身份证正反面复印件（附件</w:t>
      </w:r>
      <w:r>
        <w:rPr>
          <w:rFonts w:hint="eastAsia" w:ascii="仿宋_GB2312" w:hAnsi="仿宋_GB2312" w:eastAsia="仿宋_GB2312" w:cs="仿宋_GB2312"/>
          <w:i w:val="0"/>
          <w:caps w:val="0"/>
          <w:color w:val="000000"/>
          <w:spacing w:val="0"/>
          <w:sz w:val="32"/>
          <w:szCs w:val="32"/>
          <w:highlight w:val="none"/>
          <w:lang w:val="en-US" w:eastAsia="zh-CN"/>
        </w:rPr>
        <w:t>3</w:t>
      </w:r>
      <w:r>
        <w:rPr>
          <w:rFonts w:hint="eastAsia" w:ascii="仿宋_GB2312" w:hAnsi="仿宋_GB2312" w:eastAsia="仿宋_GB2312" w:cs="仿宋_GB2312"/>
          <w:i w:val="0"/>
          <w:caps w:val="0"/>
          <w:color w:val="000000"/>
          <w:spacing w:val="0"/>
          <w:sz w:val="32"/>
          <w:szCs w:val="32"/>
          <w:highlight w:val="none"/>
        </w:rPr>
        <w:t>）；</w:t>
      </w:r>
      <w:r>
        <w:rPr>
          <w:rStyle w:val="17"/>
          <w:rFonts w:hint="eastAsia" w:ascii="仿宋_GB2312" w:hAnsi="仿宋_GB2312" w:eastAsia="仿宋_GB2312" w:cs="仿宋_GB2312"/>
          <w:i w:val="0"/>
          <w:caps w:val="0"/>
          <w:color w:val="000000"/>
          <w:spacing w:val="0"/>
          <w:sz w:val="32"/>
          <w:szCs w:val="32"/>
          <w:highlight w:val="none"/>
        </w:rPr>
        <w:t>（委托代理时必须提供）</w:t>
      </w:r>
    </w:p>
    <w:p w14:paraId="4772B256">
      <w:pPr>
        <w:pStyle w:val="1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60" w:lineRule="exact"/>
        <w:ind w:left="0" w:firstLine="480"/>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i w:val="0"/>
          <w:caps w:val="0"/>
          <w:color w:val="000000"/>
          <w:spacing w:val="0"/>
          <w:sz w:val="32"/>
          <w:szCs w:val="32"/>
          <w:highlight w:val="none"/>
          <w:lang w:eastAsia="zh-CN"/>
        </w:rPr>
        <w:t>（</w:t>
      </w:r>
      <w:r>
        <w:rPr>
          <w:rFonts w:hint="eastAsia" w:ascii="仿宋_GB2312" w:hAnsi="仿宋_GB2312" w:eastAsia="仿宋_GB2312" w:cs="仿宋_GB2312"/>
          <w:i w:val="0"/>
          <w:caps w:val="0"/>
          <w:color w:val="000000"/>
          <w:spacing w:val="0"/>
          <w:sz w:val="32"/>
          <w:szCs w:val="32"/>
          <w:highlight w:val="none"/>
          <w:lang w:val="en-US" w:eastAsia="zh-CN"/>
        </w:rPr>
        <w:t>8</w:t>
      </w:r>
      <w:r>
        <w:rPr>
          <w:rFonts w:hint="eastAsia" w:ascii="仿宋_GB2312" w:hAnsi="仿宋_GB2312" w:eastAsia="仿宋_GB2312" w:cs="仿宋_GB2312"/>
          <w:i w:val="0"/>
          <w:caps w:val="0"/>
          <w:color w:val="000000"/>
          <w:spacing w:val="0"/>
          <w:sz w:val="32"/>
          <w:szCs w:val="32"/>
          <w:highlight w:val="none"/>
          <w:lang w:eastAsia="zh-CN"/>
        </w:rPr>
        <w:t>）《</w:t>
      </w:r>
      <w:r>
        <w:rPr>
          <w:rFonts w:hint="eastAsia" w:ascii="仿宋_GB2312" w:hAnsi="仿宋_GB2312" w:eastAsia="仿宋_GB2312" w:cs="仿宋_GB2312"/>
          <w:i w:val="0"/>
          <w:caps w:val="0"/>
          <w:color w:val="000000"/>
          <w:spacing w:val="0"/>
          <w:sz w:val="32"/>
          <w:szCs w:val="32"/>
          <w:highlight w:val="none"/>
          <w:lang w:val="en-US" w:eastAsia="zh-CN"/>
        </w:rPr>
        <w:t>采购需求</w:t>
      </w:r>
      <w:r>
        <w:rPr>
          <w:rFonts w:hint="eastAsia" w:ascii="仿宋_GB2312" w:hAnsi="仿宋_GB2312" w:eastAsia="仿宋_GB2312" w:cs="仿宋_GB2312"/>
          <w:i w:val="0"/>
          <w:caps w:val="0"/>
          <w:color w:val="000000"/>
          <w:spacing w:val="0"/>
          <w:sz w:val="32"/>
          <w:szCs w:val="32"/>
          <w:highlight w:val="none"/>
          <w:lang w:eastAsia="zh-CN"/>
        </w:rPr>
        <w:t>》</w:t>
      </w:r>
      <w:r>
        <w:rPr>
          <w:rFonts w:hint="eastAsia" w:ascii="仿宋_GB2312" w:hAnsi="仿宋_GB2312" w:eastAsia="仿宋_GB2312" w:cs="仿宋_GB2312"/>
          <w:i w:val="0"/>
          <w:caps w:val="0"/>
          <w:color w:val="000000"/>
          <w:spacing w:val="0"/>
          <w:sz w:val="32"/>
          <w:szCs w:val="32"/>
          <w:highlight w:val="none"/>
          <w:lang w:val="en-US" w:eastAsia="zh-CN"/>
        </w:rPr>
        <w:t>中要求提供的相关材料。</w:t>
      </w:r>
      <w:r>
        <w:rPr>
          <w:rStyle w:val="17"/>
          <w:rFonts w:hint="eastAsia" w:ascii="仿宋_GB2312" w:hAnsi="仿宋_GB2312" w:eastAsia="仿宋_GB2312" w:cs="仿宋_GB2312"/>
          <w:i w:val="0"/>
          <w:caps w:val="0"/>
          <w:color w:val="000000"/>
          <w:spacing w:val="0"/>
          <w:sz w:val="32"/>
          <w:szCs w:val="32"/>
          <w:highlight w:val="none"/>
        </w:rPr>
        <w:t>（必须提供）</w:t>
      </w:r>
    </w:p>
    <w:p w14:paraId="48F50ABE">
      <w:pPr>
        <w:pageBreakBefore w:val="0"/>
        <w:shd w:val="clea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三、其他事项</w:t>
      </w:r>
    </w:p>
    <w:p w14:paraId="71B49442">
      <w:pPr>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供应商报名并提交报价材料视为完全了解本项目公告及相关附件内容，如中标/成交后弃标或不配合签订合同的，将列入学校采购供应商不良记录中，并没收其投标保证金。</w:t>
      </w:r>
    </w:p>
    <w:p w14:paraId="5CAFE830">
      <w:pPr>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p>
    <w:p w14:paraId="576BEF4A">
      <w:pPr>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p>
    <w:p w14:paraId="5B799829">
      <w:pPr>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p>
    <w:p w14:paraId="56A71086">
      <w:pPr>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p>
    <w:p w14:paraId="7903F72E">
      <w:pPr>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p>
    <w:p w14:paraId="5C296FB9">
      <w:pPr>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p>
    <w:p w14:paraId="20D4550D">
      <w:pPr>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p>
    <w:p w14:paraId="02D9A7F2">
      <w:pPr>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p>
    <w:p w14:paraId="51EFD834">
      <w:pPr>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p>
    <w:p w14:paraId="301D9CB2">
      <w:pPr>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p>
    <w:p w14:paraId="7C73062E">
      <w:pPr>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p>
    <w:p w14:paraId="4C338622">
      <w:pPr>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p>
    <w:p w14:paraId="75BA38B6">
      <w:pPr>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p>
    <w:p w14:paraId="0517E9CB">
      <w:pPr>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p>
    <w:p w14:paraId="41839767">
      <w:pPr>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p>
    <w:p w14:paraId="6D83877D">
      <w:pPr>
        <w:pageBreakBefore w:val="0"/>
        <w:shd w:val="clea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rPr>
      </w:pPr>
    </w:p>
    <w:p w14:paraId="766DF021">
      <w:pPr>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p>
    <w:p w14:paraId="55E13529">
      <w:pPr>
        <w:pageBreakBefore w:val="0"/>
        <w:shd w:val="clear"/>
        <w:kinsoku/>
        <w:wordWrap/>
        <w:overflowPunct/>
        <w:topLinePunct w:val="0"/>
        <w:autoSpaceDE/>
        <w:autoSpaceDN/>
        <w:bidi w:val="0"/>
        <w:adjustRightInd/>
        <w:snapToGrid/>
        <w:spacing w:line="560" w:lineRule="exact"/>
        <w:jc w:val="left"/>
        <w:textAlignment w:val="auto"/>
        <w:rPr>
          <w:rFonts w:hint="eastAsia" w:ascii="宋体" w:hAnsi="宋体"/>
          <w:sz w:val="32"/>
          <w:szCs w:val="32"/>
          <w:highlight w:val="none"/>
          <w:u w:val="none"/>
          <w:lang w:val="en-US" w:eastAsia="zh-CN"/>
        </w:rPr>
      </w:pPr>
      <w:r>
        <w:rPr>
          <w:rFonts w:hint="eastAsia" w:ascii="宋体" w:hAnsi="宋体"/>
          <w:sz w:val="32"/>
          <w:szCs w:val="32"/>
          <w:highlight w:val="none"/>
          <w:u w:val="none"/>
          <w:lang w:eastAsia="zh-CN"/>
        </w:rPr>
        <w:t>附件</w:t>
      </w:r>
      <w:r>
        <w:rPr>
          <w:rFonts w:hint="eastAsia" w:ascii="宋体" w:hAnsi="宋体"/>
          <w:sz w:val="32"/>
          <w:szCs w:val="32"/>
          <w:highlight w:val="none"/>
          <w:u w:val="none"/>
          <w:lang w:val="en-US" w:eastAsia="zh-CN"/>
        </w:rPr>
        <w:t>1</w:t>
      </w:r>
    </w:p>
    <w:p w14:paraId="18A01886">
      <w:pPr>
        <w:pageBreakBefore w:val="0"/>
        <w:shd w:val="clear"/>
        <w:kinsoku/>
        <w:wordWrap/>
        <w:overflowPunct/>
        <w:topLinePunct w:val="0"/>
        <w:autoSpaceDE/>
        <w:autoSpaceDN/>
        <w:bidi w:val="0"/>
        <w:adjustRightInd/>
        <w:snapToGrid/>
        <w:spacing w:line="560" w:lineRule="exact"/>
        <w:jc w:val="center"/>
        <w:textAlignment w:val="auto"/>
        <w:rPr>
          <w:rFonts w:hint="eastAsia"/>
          <w:sz w:val="44"/>
          <w:szCs w:val="44"/>
          <w:highlight w:val="none"/>
          <w:u w:val="single"/>
          <w:lang w:val="en-US" w:eastAsia="zh-CN"/>
        </w:rPr>
      </w:pPr>
    </w:p>
    <w:p w14:paraId="19A39360">
      <w:pPr>
        <w:pageBreakBefore w:val="0"/>
        <w:shd w:val="clear"/>
        <w:kinsoku/>
        <w:wordWrap/>
        <w:overflowPunct/>
        <w:topLinePunct w:val="0"/>
        <w:autoSpaceDE/>
        <w:autoSpaceDN/>
        <w:bidi w:val="0"/>
        <w:adjustRightInd/>
        <w:snapToGrid/>
        <w:spacing w:line="560" w:lineRule="exact"/>
        <w:jc w:val="center"/>
        <w:textAlignment w:val="auto"/>
        <w:rPr>
          <w:rFonts w:hint="eastAsia"/>
          <w:sz w:val="44"/>
          <w:szCs w:val="44"/>
          <w:highlight w:val="none"/>
          <w:u w:val="single"/>
          <w:lang w:val="en-US" w:eastAsia="zh-CN"/>
        </w:rPr>
      </w:pPr>
    </w:p>
    <w:p w14:paraId="1FADD00B">
      <w:pPr>
        <w:pageBreakBefore w:val="0"/>
        <w:kinsoku/>
        <w:overflowPunct/>
        <w:topLinePunct w:val="0"/>
        <w:autoSpaceDE/>
        <w:autoSpaceDN/>
        <w:bidi w:val="0"/>
        <w:adjustRightInd/>
        <w:spacing w:line="560" w:lineRule="exact"/>
        <w:ind w:left="409" w:leftChars="195" w:right="2" w:rightChars="1" w:firstLine="720" w:firstLineChars="200"/>
        <w:textAlignment w:val="auto"/>
        <w:rPr>
          <w:rFonts w:hint="eastAsia" w:ascii="方正公文小标宋" w:hAnsi="方正公文小标宋" w:eastAsia="方正公文小标宋" w:cs="方正公文小标宋"/>
          <w:sz w:val="36"/>
          <w:szCs w:val="36"/>
          <w:highlight w:val="none"/>
          <w:lang w:val="en-US" w:eastAsia="zh-CN"/>
        </w:rPr>
      </w:pPr>
      <w:bookmarkStart w:id="1" w:name="_GoBack"/>
      <w:r>
        <w:rPr>
          <w:rFonts w:hint="eastAsia" w:ascii="方正公文小标宋" w:hAnsi="方正公文小标宋" w:eastAsia="方正公文小标宋" w:cs="方正公文小标宋"/>
          <w:sz w:val="36"/>
          <w:szCs w:val="36"/>
          <w:u w:val="single"/>
          <w:lang w:eastAsia="zh-CN"/>
        </w:rPr>
        <w:t>统一应用融合门户平台项目</w:t>
      </w:r>
      <w:bookmarkEnd w:id="1"/>
      <w:r>
        <w:rPr>
          <w:rFonts w:hint="eastAsia" w:ascii="方正公文小标宋" w:hAnsi="方正公文小标宋" w:eastAsia="方正公文小标宋" w:cs="方正公文小标宋"/>
          <w:b w:val="0"/>
          <w:bCs w:val="0"/>
          <w:sz w:val="36"/>
          <w:szCs w:val="36"/>
          <w:highlight w:val="none"/>
          <w:u w:val="single"/>
          <w:lang w:val="en-US" w:eastAsia="zh-CN"/>
        </w:rPr>
        <w:t xml:space="preserve"> </w:t>
      </w:r>
      <w:r>
        <w:rPr>
          <w:rFonts w:hint="eastAsia" w:ascii="方正公文小标宋" w:hAnsi="方正公文小标宋" w:eastAsia="方正公文小标宋" w:cs="方正公文小标宋"/>
          <w:b/>
          <w:bCs/>
          <w:sz w:val="36"/>
          <w:szCs w:val="36"/>
          <w:highlight w:val="none"/>
          <w:u w:val="none"/>
          <w:lang w:val="en-US" w:eastAsia="zh-CN"/>
        </w:rPr>
        <w:t>报名表</w:t>
      </w:r>
    </w:p>
    <w:p w14:paraId="79C679E6">
      <w:pPr>
        <w:pageBreakBefore w:val="0"/>
        <w:shd w:val="clear"/>
        <w:kinsoku/>
        <w:wordWrap/>
        <w:overflowPunct/>
        <w:topLinePunct w:val="0"/>
        <w:autoSpaceDE/>
        <w:autoSpaceDN/>
        <w:bidi w:val="0"/>
        <w:adjustRightInd/>
        <w:snapToGrid/>
        <w:spacing w:line="560" w:lineRule="exact"/>
        <w:jc w:val="center"/>
        <w:textAlignment w:val="auto"/>
        <w:rPr>
          <w:rFonts w:hint="eastAsia"/>
          <w:sz w:val="44"/>
          <w:szCs w:val="44"/>
          <w:highlight w:val="none"/>
          <w:lang w:val="en-US" w:eastAsia="zh-CN"/>
        </w:rPr>
      </w:pPr>
    </w:p>
    <w:p w14:paraId="2FFD4CB5">
      <w:pPr>
        <w:pageBreakBefore w:val="0"/>
        <w:shd w:val="clear"/>
        <w:kinsoku/>
        <w:wordWrap/>
        <w:overflowPunct/>
        <w:topLinePunct w:val="0"/>
        <w:autoSpaceDE/>
        <w:autoSpaceDN/>
        <w:bidi w:val="0"/>
        <w:adjustRightInd/>
        <w:snapToGrid/>
        <w:spacing w:line="560" w:lineRule="exact"/>
        <w:textAlignment w:val="auto"/>
        <w:rPr>
          <w:rFonts w:hint="eastAsia"/>
          <w:highlight w:val="none"/>
          <w:lang w:val="en-US" w:eastAsia="zh-CN"/>
        </w:rPr>
      </w:pPr>
    </w:p>
    <w:p w14:paraId="519A1FCD">
      <w:pPr>
        <w:pageBreakBefore w:val="0"/>
        <w:shd w:val="clear"/>
        <w:kinsoku/>
        <w:overflowPunct/>
        <w:topLinePunct w:val="0"/>
        <w:autoSpaceDE/>
        <w:autoSpaceDN/>
        <w:bidi w:val="0"/>
        <w:adjustRightInd/>
        <w:spacing w:line="560" w:lineRule="exact"/>
        <w:textAlignment w:val="auto"/>
        <w:rPr>
          <w:rFonts w:hint="eastAsia"/>
          <w:highlight w:val="none"/>
          <w:lang w:val="en-US" w:eastAsia="zh-CN"/>
        </w:rPr>
      </w:pPr>
    </w:p>
    <w:p w14:paraId="4EF5E8E7">
      <w:pPr>
        <w:pStyle w:val="2"/>
        <w:pageBreakBefore w:val="0"/>
        <w:shd w:val="clear"/>
        <w:kinsoku/>
        <w:overflowPunct/>
        <w:topLinePunct w:val="0"/>
        <w:autoSpaceDE/>
        <w:autoSpaceDN/>
        <w:bidi w:val="0"/>
        <w:adjustRightInd/>
        <w:spacing w:line="560" w:lineRule="exact"/>
        <w:textAlignment w:val="auto"/>
        <w:rPr>
          <w:rFonts w:hint="eastAsia"/>
          <w:highlight w:val="none"/>
          <w:lang w:val="en-US" w:eastAsia="zh-CN"/>
        </w:rPr>
      </w:pPr>
    </w:p>
    <w:p w14:paraId="731C7D3B">
      <w:pPr>
        <w:pageBreakBefore w:val="0"/>
        <w:shd w:val="clear"/>
        <w:kinsoku/>
        <w:wordWrap/>
        <w:overflowPunct/>
        <w:topLinePunct w:val="0"/>
        <w:autoSpaceDE/>
        <w:autoSpaceDN/>
        <w:bidi w:val="0"/>
        <w:adjustRightInd/>
        <w:snapToGrid/>
        <w:spacing w:line="560" w:lineRule="exact"/>
        <w:ind w:firstLine="640" w:firstLineChars="200"/>
        <w:jc w:val="left"/>
        <w:textAlignment w:val="auto"/>
        <w:rPr>
          <w:rFonts w:hint="eastAsia"/>
          <w:sz w:val="32"/>
          <w:szCs w:val="32"/>
          <w:highlight w:val="none"/>
          <w:lang w:val="en-US" w:eastAsia="zh-CN"/>
        </w:rPr>
      </w:pPr>
      <w:r>
        <w:rPr>
          <w:rFonts w:hint="eastAsia"/>
          <w:sz w:val="32"/>
          <w:szCs w:val="32"/>
          <w:highlight w:val="none"/>
          <w:lang w:val="en-US" w:eastAsia="zh-CN"/>
        </w:rPr>
        <w:t>报名单</w:t>
      </w:r>
      <w:r>
        <w:rPr>
          <w:rFonts w:hint="eastAsia"/>
          <w:sz w:val="32"/>
          <w:szCs w:val="32"/>
          <w:highlight w:val="none"/>
          <w:u w:val="none"/>
          <w:lang w:val="en-US" w:eastAsia="zh-CN"/>
        </w:rPr>
        <w:t>位（公章）</w:t>
      </w:r>
      <w:r>
        <w:rPr>
          <w:rFonts w:hint="eastAsia"/>
          <w:sz w:val="32"/>
          <w:szCs w:val="32"/>
          <w:highlight w:val="none"/>
          <w:lang w:val="en-US" w:eastAsia="zh-CN"/>
        </w:rPr>
        <w:t>：</w:t>
      </w:r>
      <w:r>
        <w:rPr>
          <w:rFonts w:hint="eastAsia"/>
          <w:sz w:val="32"/>
          <w:szCs w:val="32"/>
          <w:highlight w:val="none"/>
          <w:u w:val="single"/>
          <w:lang w:val="en-US" w:eastAsia="zh-CN"/>
        </w:rPr>
        <w:t xml:space="preserve">                   </w:t>
      </w:r>
      <w:r>
        <w:rPr>
          <w:rFonts w:hint="eastAsia"/>
          <w:sz w:val="32"/>
          <w:szCs w:val="32"/>
          <w:highlight w:val="none"/>
          <w:lang w:val="en-US" w:eastAsia="zh-CN"/>
        </w:rPr>
        <w:t xml:space="preserve"> </w:t>
      </w:r>
    </w:p>
    <w:p w14:paraId="2C15D756">
      <w:pPr>
        <w:pageBreakBefore w:val="0"/>
        <w:shd w:val="clear"/>
        <w:kinsoku/>
        <w:wordWrap/>
        <w:overflowPunct/>
        <w:topLinePunct w:val="0"/>
        <w:autoSpaceDE/>
        <w:autoSpaceDN/>
        <w:bidi w:val="0"/>
        <w:adjustRightInd/>
        <w:snapToGrid/>
        <w:spacing w:line="560" w:lineRule="exact"/>
        <w:ind w:firstLine="640" w:firstLineChars="200"/>
        <w:jc w:val="left"/>
        <w:textAlignment w:val="auto"/>
        <w:rPr>
          <w:rFonts w:hint="eastAsia"/>
          <w:sz w:val="32"/>
          <w:szCs w:val="32"/>
          <w:highlight w:val="none"/>
          <w:lang w:val="en-US" w:eastAsia="zh-CN"/>
        </w:rPr>
      </w:pPr>
      <w:r>
        <w:rPr>
          <w:rFonts w:hint="eastAsia"/>
          <w:sz w:val="32"/>
          <w:szCs w:val="32"/>
          <w:highlight w:val="none"/>
          <w:lang w:val="en-US" w:eastAsia="zh-CN"/>
        </w:rPr>
        <w:t>联系人：</w:t>
      </w:r>
      <w:r>
        <w:rPr>
          <w:rFonts w:hint="eastAsia"/>
          <w:sz w:val="32"/>
          <w:szCs w:val="32"/>
          <w:highlight w:val="none"/>
          <w:u w:val="single"/>
          <w:lang w:val="en-US" w:eastAsia="zh-CN"/>
        </w:rPr>
        <w:t xml:space="preserve">                             </w:t>
      </w:r>
      <w:r>
        <w:rPr>
          <w:rFonts w:hint="eastAsia"/>
          <w:sz w:val="32"/>
          <w:szCs w:val="32"/>
          <w:highlight w:val="none"/>
          <w:lang w:val="en-US" w:eastAsia="zh-CN"/>
        </w:rPr>
        <w:t xml:space="preserve"> </w:t>
      </w:r>
    </w:p>
    <w:p w14:paraId="017D2BC1">
      <w:pPr>
        <w:pageBreakBefore w:val="0"/>
        <w:shd w:val="clear"/>
        <w:kinsoku/>
        <w:wordWrap/>
        <w:overflowPunct/>
        <w:topLinePunct w:val="0"/>
        <w:autoSpaceDE/>
        <w:autoSpaceDN/>
        <w:bidi w:val="0"/>
        <w:adjustRightInd/>
        <w:snapToGrid/>
        <w:spacing w:line="560" w:lineRule="exact"/>
        <w:ind w:firstLine="640" w:firstLineChars="200"/>
        <w:jc w:val="left"/>
        <w:textAlignment w:val="auto"/>
        <w:rPr>
          <w:rFonts w:hint="default"/>
          <w:sz w:val="32"/>
          <w:szCs w:val="32"/>
          <w:highlight w:val="none"/>
          <w:u w:val="single"/>
          <w:lang w:val="en-US" w:eastAsia="zh-CN"/>
        </w:rPr>
      </w:pPr>
      <w:r>
        <w:rPr>
          <w:rFonts w:hint="eastAsia"/>
          <w:sz w:val="32"/>
          <w:szCs w:val="32"/>
          <w:highlight w:val="none"/>
          <w:lang w:val="en-US" w:eastAsia="zh-CN"/>
        </w:rPr>
        <w:t>身份证号：</w:t>
      </w:r>
      <w:r>
        <w:rPr>
          <w:rFonts w:hint="eastAsia"/>
          <w:sz w:val="32"/>
          <w:szCs w:val="32"/>
          <w:highlight w:val="none"/>
          <w:u w:val="single"/>
          <w:lang w:val="en-US" w:eastAsia="zh-CN"/>
        </w:rPr>
        <w:t xml:space="preserve">                           </w:t>
      </w:r>
    </w:p>
    <w:p w14:paraId="4BC3AE65">
      <w:pPr>
        <w:pageBreakBefore w:val="0"/>
        <w:shd w:val="clear"/>
        <w:kinsoku/>
        <w:wordWrap/>
        <w:overflowPunct/>
        <w:topLinePunct w:val="0"/>
        <w:autoSpaceDE/>
        <w:autoSpaceDN/>
        <w:bidi w:val="0"/>
        <w:adjustRightInd/>
        <w:snapToGrid/>
        <w:spacing w:line="560" w:lineRule="exact"/>
        <w:ind w:firstLine="640" w:firstLineChars="200"/>
        <w:jc w:val="left"/>
        <w:textAlignment w:val="auto"/>
        <w:rPr>
          <w:rFonts w:hint="default"/>
          <w:sz w:val="32"/>
          <w:szCs w:val="32"/>
          <w:highlight w:val="none"/>
          <w:u w:val="single"/>
          <w:lang w:val="en-US" w:eastAsia="zh-CN"/>
        </w:rPr>
      </w:pPr>
      <w:r>
        <w:rPr>
          <w:rFonts w:hint="eastAsia"/>
          <w:sz w:val="32"/>
          <w:szCs w:val="32"/>
          <w:highlight w:val="none"/>
          <w:lang w:val="en-US" w:eastAsia="zh-CN"/>
        </w:rPr>
        <w:t>联系电话：</w:t>
      </w:r>
      <w:r>
        <w:rPr>
          <w:rFonts w:hint="eastAsia"/>
          <w:sz w:val="32"/>
          <w:szCs w:val="32"/>
          <w:highlight w:val="none"/>
          <w:u w:val="single"/>
          <w:lang w:val="en-US" w:eastAsia="zh-CN"/>
        </w:rPr>
        <w:t xml:space="preserve">                           </w:t>
      </w:r>
    </w:p>
    <w:p w14:paraId="71D0E948">
      <w:pPr>
        <w:pageBreakBefore w:val="0"/>
        <w:shd w:val="clear"/>
        <w:kinsoku/>
        <w:wordWrap/>
        <w:overflowPunct/>
        <w:topLinePunct w:val="0"/>
        <w:autoSpaceDE/>
        <w:autoSpaceDN/>
        <w:bidi w:val="0"/>
        <w:adjustRightInd/>
        <w:snapToGrid/>
        <w:spacing w:line="560" w:lineRule="exact"/>
        <w:ind w:firstLine="640" w:firstLineChars="200"/>
        <w:jc w:val="left"/>
        <w:textAlignment w:val="auto"/>
        <w:rPr>
          <w:rFonts w:hint="default"/>
          <w:sz w:val="32"/>
          <w:szCs w:val="32"/>
          <w:highlight w:val="none"/>
          <w:u w:val="single"/>
          <w:lang w:val="en-US" w:eastAsia="zh-CN"/>
        </w:rPr>
      </w:pPr>
      <w:r>
        <w:rPr>
          <w:rFonts w:hint="eastAsia"/>
          <w:sz w:val="32"/>
          <w:szCs w:val="32"/>
          <w:highlight w:val="none"/>
          <w:lang w:val="en-US" w:eastAsia="zh-CN"/>
        </w:rPr>
        <w:t>报名时间：</w:t>
      </w:r>
      <w:r>
        <w:rPr>
          <w:rFonts w:hint="eastAsia"/>
          <w:sz w:val="32"/>
          <w:szCs w:val="32"/>
          <w:highlight w:val="none"/>
          <w:u w:val="single"/>
          <w:lang w:val="en-US" w:eastAsia="zh-CN"/>
        </w:rPr>
        <w:t xml:space="preserve">                           </w:t>
      </w:r>
    </w:p>
    <w:p w14:paraId="7392847E">
      <w:pPr>
        <w:pStyle w:val="2"/>
        <w:pageBreakBefore w:val="0"/>
        <w:shd w:val="clear"/>
        <w:kinsoku/>
        <w:wordWrap/>
        <w:overflowPunct/>
        <w:topLinePunct w:val="0"/>
        <w:autoSpaceDE/>
        <w:autoSpaceDN/>
        <w:bidi w:val="0"/>
        <w:adjustRightInd/>
        <w:snapToGrid/>
        <w:spacing w:line="560" w:lineRule="exact"/>
        <w:textAlignment w:val="auto"/>
        <w:rPr>
          <w:rFonts w:hint="eastAsia"/>
          <w:highlight w:val="none"/>
          <w:lang w:val="en-US" w:eastAsia="zh-CN"/>
        </w:rPr>
      </w:pPr>
    </w:p>
    <w:p w14:paraId="1BA57D28">
      <w:pPr>
        <w:pageBreakBefore w:val="0"/>
        <w:shd w:val="clear"/>
        <w:kinsoku/>
        <w:wordWrap/>
        <w:overflowPunct/>
        <w:topLinePunct w:val="0"/>
        <w:autoSpaceDE/>
        <w:autoSpaceDN/>
        <w:bidi w:val="0"/>
        <w:adjustRightInd/>
        <w:snapToGrid/>
        <w:spacing w:line="560" w:lineRule="exact"/>
        <w:textAlignment w:val="auto"/>
        <w:rPr>
          <w:rFonts w:hint="eastAsia"/>
          <w:highlight w:val="none"/>
          <w:lang w:val="en-US" w:eastAsia="zh-CN"/>
        </w:rPr>
      </w:pPr>
    </w:p>
    <w:p w14:paraId="591865FD">
      <w:pPr>
        <w:pStyle w:val="2"/>
        <w:pageBreakBefore w:val="0"/>
        <w:shd w:val="clear"/>
        <w:kinsoku/>
        <w:wordWrap/>
        <w:overflowPunct/>
        <w:topLinePunct w:val="0"/>
        <w:autoSpaceDE/>
        <w:autoSpaceDN/>
        <w:bidi w:val="0"/>
        <w:adjustRightInd/>
        <w:snapToGrid/>
        <w:spacing w:line="560" w:lineRule="exact"/>
        <w:textAlignment w:val="auto"/>
        <w:rPr>
          <w:rFonts w:hint="eastAsia"/>
          <w:highlight w:val="none"/>
          <w:lang w:val="en-US" w:eastAsia="zh-CN"/>
        </w:rPr>
      </w:pPr>
    </w:p>
    <w:p w14:paraId="16853378">
      <w:pPr>
        <w:pageBreakBefore w:val="0"/>
        <w:shd w:val="clear"/>
        <w:kinsoku/>
        <w:overflowPunct/>
        <w:topLinePunct w:val="0"/>
        <w:autoSpaceDE/>
        <w:autoSpaceDN/>
        <w:bidi w:val="0"/>
        <w:adjustRightInd/>
        <w:spacing w:line="560" w:lineRule="exact"/>
        <w:textAlignment w:val="auto"/>
        <w:rPr>
          <w:rFonts w:hint="eastAsia"/>
          <w:highlight w:val="none"/>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r>
        <w:rPr>
          <w:rFonts w:hint="eastAsia"/>
          <w:highlight w:val="none"/>
          <w:lang w:val="en-US" w:eastAsia="zh-CN"/>
        </w:rPr>
        <w:br w:type="page"/>
      </w:r>
    </w:p>
    <w:p w14:paraId="49803097">
      <w:pPr>
        <w:pageBreakBefore w:val="0"/>
        <w:shd w:val="clear"/>
        <w:kinsoku/>
        <w:wordWrap/>
        <w:overflowPunct/>
        <w:topLinePunct w:val="0"/>
        <w:autoSpaceDE/>
        <w:autoSpaceDN/>
        <w:bidi w:val="0"/>
        <w:adjustRightInd/>
        <w:snapToGrid/>
        <w:spacing w:line="560" w:lineRule="exact"/>
        <w:jc w:val="both"/>
        <w:textAlignment w:val="auto"/>
        <w:rPr>
          <w:rFonts w:hint="default" w:ascii="宋体" w:hAnsi="宋体" w:eastAsia="宋体"/>
          <w:b/>
          <w:bCs/>
          <w:sz w:val="32"/>
          <w:szCs w:val="32"/>
          <w:highlight w:val="none"/>
          <w:u w:val="none"/>
          <w:lang w:val="en-US" w:eastAsia="zh-CN"/>
        </w:rPr>
      </w:pPr>
      <w:r>
        <w:rPr>
          <w:rFonts w:hint="eastAsia" w:ascii="宋体" w:hAnsi="宋体"/>
          <w:sz w:val="32"/>
          <w:szCs w:val="32"/>
          <w:highlight w:val="none"/>
          <w:u w:val="none"/>
          <w:lang w:val="en-US" w:eastAsia="zh-CN"/>
        </w:rPr>
        <w:t>附件2</w:t>
      </w:r>
    </w:p>
    <w:p w14:paraId="28DCE050">
      <w:pPr>
        <w:pageBreakBefore w:val="0"/>
        <w:shd w:val="clear"/>
        <w:kinsoku/>
        <w:wordWrap/>
        <w:overflowPunct/>
        <w:topLinePunct w:val="0"/>
        <w:autoSpaceDE/>
        <w:autoSpaceDN/>
        <w:bidi w:val="0"/>
        <w:adjustRightInd/>
        <w:snapToGrid/>
        <w:spacing w:line="560" w:lineRule="exact"/>
        <w:ind w:left="2880" w:hanging="3964" w:hangingChars="900"/>
        <w:jc w:val="center"/>
        <w:textAlignment w:val="auto"/>
        <w:rPr>
          <w:rFonts w:hint="eastAsia" w:ascii="华文楷体" w:hAnsi="华文楷体" w:eastAsia="华文楷体" w:cs="华文楷体"/>
          <w:b/>
          <w:bCs/>
          <w:sz w:val="44"/>
          <w:szCs w:val="44"/>
          <w:highlight w:val="none"/>
          <w:u w:val="none"/>
          <w:lang w:eastAsia="zh-CN"/>
        </w:rPr>
      </w:pPr>
    </w:p>
    <w:p w14:paraId="34745C8D">
      <w:pPr>
        <w:pageBreakBefore w:val="0"/>
        <w:shd w:val="clear"/>
        <w:kinsoku/>
        <w:wordWrap/>
        <w:overflowPunct/>
        <w:topLinePunct w:val="0"/>
        <w:autoSpaceDE/>
        <w:autoSpaceDN/>
        <w:bidi w:val="0"/>
        <w:adjustRightInd/>
        <w:snapToGrid/>
        <w:spacing w:line="560" w:lineRule="exact"/>
        <w:ind w:left="2880" w:hanging="3964" w:hangingChars="900"/>
        <w:jc w:val="center"/>
        <w:textAlignment w:val="auto"/>
        <w:rPr>
          <w:rFonts w:hint="eastAsia"/>
          <w:highlight w:val="none"/>
          <w:lang w:val="en-US" w:eastAsia="zh-CN"/>
        </w:rPr>
      </w:pPr>
      <w:r>
        <w:rPr>
          <w:rFonts w:hint="eastAsia" w:ascii="华文楷体" w:hAnsi="华文楷体" w:eastAsia="华文楷体" w:cs="华文楷体"/>
          <w:b/>
          <w:bCs/>
          <w:sz w:val="44"/>
          <w:szCs w:val="44"/>
          <w:highlight w:val="none"/>
          <w:u w:val="none"/>
          <w:lang w:eastAsia="zh-CN"/>
        </w:rPr>
        <w:t>报</w:t>
      </w:r>
      <w:r>
        <w:rPr>
          <w:rFonts w:hint="eastAsia" w:ascii="华文楷体" w:hAnsi="华文楷体" w:eastAsia="华文楷体" w:cs="华文楷体"/>
          <w:b/>
          <w:bCs/>
          <w:sz w:val="44"/>
          <w:szCs w:val="44"/>
          <w:highlight w:val="none"/>
          <w:u w:val="none"/>
          <w:lang w:val="en-US" w:eastAsia="zh-CN"/>
        </w:rPr>
        <w:t xml:space="preserve"> </w:t>
      </w:r>
      <w:r>
        <w:rPr>
          <w:rFonts w:hint="eastAsia" w:ascii="华文楷体" w:hAnsi="华文楷体" w:eastAsia="华文楷体" w:cs="华文楷体"/>
          <w:b/>
          <w:bCs/>
          <w:sz w:val="44"/>
          <w:szCs w:val="44"/>
          <w:highlight w:val="none"/>
          <w:u w:val="none"/>
          <w:lang w:eastAsia="zh-CN"/>
        </w:rPr>
        <w:t>价</w:t>
      </w:r>
      <w:r>
        <w:rPr>
          <w:rFonts w:hint="eastAsia" w:ascii="华文楷体" w:hAnsi="华文楷体" w:eastAsia="华文楷体" w:cs="华文楷体"/>
          <w:b/>
          <w:bCs/>
          <w:sz w:val="44"/>
          <w:szCs w:val="44"/>
          <w:highlight w:val="none"/>
          <w:u w:val="none"/>
          <w:lang w:val="en-US" w:eastAsia="zh-CN"/>
        </w:rPr>
        <w:t xml:space="preserve"> </w:t>
      </w:r>
      <w:r>
        <w:rPr>
          <w:rFonts w:hint="eastAsia" w:ascii="华文楷体" w:hAnsi="华文楷体" w:eastAsia="华文楷体" w:cs="华文楷体"/>
          <w:b/>
          <w:bCs/>
          <w:sz w:val="44"/>
          <w:szCs w:val="44"/>
          <w:highlight w:val="none"/>
          <w:u w:val="none"/>
          <w:lang w:eastAsia="zh-CN"/>
        </w:rPr>
        <w:t>单</w:t>
      </w:r>
    </w:p>
    <w:tbl>
      <w:tblPr>
        <w:tblStyle w:val="14"/>
        <w:tblW w:w="13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4260"/>
        <w:gridCol w:w="2220"/>
        <w:gridCol w:w="660"/>
        <w:gridCol w:w="568"/>
        <w:gridCol w:w="1630"/>
        <w:gridCol w:w="1665"/>
        <w:gridCol w:w="1735"/>
      </w:tblGrid>
      <w:tr w14:paraId="5F65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39" w:type="dxa"/>
            <w:vAlign w:val="center"/>
          </w:tcPr>
          <w:p w14:paraId="26BAAD8E">
            <w:pPr>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序号</w:t>
            </w:r>
          </w:p>
        </w:tc>
        <w:tc>
          <w:tcPr>
            <w:tcW w:w="4260" w:type="dxa"/>
            <w:vAlign w:val="center"/>
          </w:tcPr>
          <w:p w14:paraId="28E7E7B5">
            <w:pPr>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项目</w:t>
            </w:r>
            <w:r>
              <w:rPr>
                <w:rFonts w:hint="eastAsia" w:ascii="仿宋_GB2312" w:hAnsi="仿宋_GB2312" w:eastAsia="仿宋_GB2312" w:cs="仿宋_GB2312"/>
                <w:b/>
                <w:bCs/>
                <w:sz w:val="28"/>
                <w:szCs w:val="28"/>
                <w:highlight w:val="none"/>
              </w:rPr>
              <w:t>名称</w:t>
            </w:r>
          </w:p>
        </w:tc>
        <w:tc>
          <w:tcPr>
            <w:tcW w:w="2220" w:type="dxa"/>
            <w:vAlign w:val="center"/>
          </w:tcPr>
          <w:p w14:paraId="0E49D081">
            <w:pPr>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项目要求</w:t>
            </w:r>
          </w:p>
        </w:tc>
        <w:tc>
          <w:tcPr>
            <w:tcW w:w="660" w:type="dxa"/>
            <w:vAlign w:val="center"/>
          </w:tcPr>
          <w:p w14:paraId="771310EF">
            <w:pPr>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单位</w:t>
            </w:r>
          </w:p>
        </w:tc>
        <w:tc>
          <w:tcPr>
            <w:tcW w:w="568" w:type="dxa"/>
            <w:vAlign w:val="center"/>
          </w:tcPr>
          <w:p w14:paraId="47798EAC">
            <w:pPr>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数</w:t>
            </w:r>
            <w:r>
              <w:rPr>
                <w:rFonts w:hint="eastAsia" w:ascii="仿宋_GB2312" w:hAnsi="仿宋_GB2312" w:eastAsia="仿宋_GB2312" w:cs="仿宋_GB2312"/>
                <w:b/>
                <w:bCs/>
                <w:sz w:val="28"/>
                <w:szCs w:val="28"/>
                <w:highlight w:val="none"/>
              </w:rPr>
              <w:t>量</w:t>
            </w:r>
          </w:p>
        </w:tc>
        <w:tc>
          <w:tcPr>
            <w:tcW w:w="1630" w:type="dxa"/>
            <w:vAlign w:val="center"/>
          </w:tcPr>
          <w:p w14:paraId="1954849F">
            <w:pPr>
              <w:pageBreakBefore w:val="0"/>
              <w:shd w:val="clea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预算价（元）</w:t>
            </w:r>
          </w:p>
        </w:tc>
        <w:tc>
          <w:tcPr>
            <w:tcW w:w="1665" w:type="dxa"/>
            <w:vAlign w:val="center"/>
          </w:tcPr>
          <w:p w14:paraId="1DBD90D2">
            <w:pPr>
              <w:pageBreakBefore w:val="0"/>
              <w:shd w:val="clea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优惠率（%）</w:t>
            </w:r>
          </w:p>
        </w:tc>
        <w:tc>
          <w:tcPr>
            <w:tcW w:w="1735" w:type="dxa"/>
            <w:vAlign w:val="center"/>
          </w:tcPr>
          <w:p w14:paraId="56649418">
            <w:pPr>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报价（元）</w:t>
            </w:r>
          </w:p>
        </w:tc>
      </w:tr>
      <w:tr w14:paraId="5FFDF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39" w:type="dxa"/>
            <w:vAlign w:val="center"/>
          </w:tcPr>
          <w:p w14:paraId="3ABA3BBE">
            <w:pPr>
              <w:pageBreakBefore w:val="0"/>
              <w:numPr>
                <w:ilvl w:val="0"/>
                <w:numId w:val="0"/>
              </w:numPr>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1</w:t>
            </w:r>
          </w:p>
        </w:tc>
        <w:tc>
          <w:tcPr>
            <w:tcW w:w="4260" w:type="dxa"/>
            <w:vAlign w:val="center"/>
          </w:tcPr>
          <w:p w14:paraId="6AFD60AF">
            <w:pPr>
              <w:pageBreakBefore w:val="0"/>
              <w:kinsoku/>
              <w:overflowPunct/>
              <w:topLinePunct w:val="0"/>
              <w:autoSpaceDE/>
              <w:autoSpaceDN/>
              <w:bidi w:val="0"/>
              <w:adjustRightInd/>
              <w:spacing w:line="560" w:lineRule="exact"/>
              <w:ind w:right="2" w:rightChars="1"/>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32"/>
                <w:szCs w:val="32"/>
                <w:lang w:eastAsia="zh-CN"/>
              </w:rPr>
              <w:t>统一应用融合门户平台项目</w:t>
            </w:r>
          </w:p>
        </w:tc>
        <w:tc>
          <w:tcPr>
            <w:tcW w:w="2220" w:type="dxa"/>
            <w:vAlign w:val="center"/>
          </w:tcPr>
          <w:p w14:paraId="6D734BA0">
            <w:pPr>
              <w:pageBreakBefore w:val="0"/>
              <w:numPr>
                <w:ilvl w:val="0"/>
                <w:numId w:val="0"/>
              </w:numPr>
              <w:shd w:val="clea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详见《采购需求》</w:t>
            </w:r>
          </w:p>
        </w:tc>
        <w:tc>
          <w:tcPr>
            <w:tcW w:w="660" w:type="dxa"/>
            <w:vAlign w:val="center"/>
          </w:tcPr>
          <w:p w14:paraId="2CEBA4F6">
            <w:pPr>
              <w:pageBreakBefore w:val="0"/>
              <w:numPr>
                <w:ilvl w:val="0"/>
                <w:numId w:val="0"/>
              </w:numPr>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项</w:t>
            </w:r>
          </w:p>
        </w:tc>
        <w:tc>
          <w:tcPr>
            <w:tcW w:w="568" w:type="dxa"/>
            <w:vAlign w:val="center"/>
          </w:tcPr>
          <w:p w14:paraId="3E334198">
            <w:pPr>
              <w:pageBreakBefore w:val="0"/>
              <w:numPr>
                <w:ilvl w:val="0"/>
                <w:numId w:val="0"/>
              </w:numPr>
              <w:shd w:val="clear"/>
              <w:kinsoku/>
              <w:wordWrap/>
              <w:overflowPunct/>
              <w:topLinePunct w:val="0"/>
              <w:autoSpaceDE/>
              <w:autoSpaceDN/>
              <w:bidi w:val="0"/>
              <w:adjustRightInd/>
              <w:snapToGrid/>
              <w:spacing w:line="560" w:lineRule="exact"/>
              <w:ind w:firstLine="280" w:firstLineChars="1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w:t>
            </w:r>
          </w:p>
        </w:tc>
        <w:tc>
          <w:tcPr>
            <w:tcW w:w="1630" w:type="dxa"/>
            <w:vAlign w:val="center"/>
          </w:tcPr>
          <w:p w14:paraId="626A0A5E">
            <w:pPr>
              <w:pageBreakBefore w:val="0"/>
              <w:numPr>
                <w:ilvl w:val="0"/>
                <w:numId w:val="0"/>
              </w:numPr>
              <w:shd w:val="clea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28"/>
                <w:szCs w:val="28"/>
                <w:highlight w:val="none"/>
                <w:lang w:val="en-US" w:eastAsia="zh-CN"/>
              </w:rPr>
            </w:pPr>
            <w:r>
              <w:rPr>
                <w:rFonts w:hint="eastAsia" w:ascii="仿宋_GB2312" w:hAnsi="微软雅黑" w:eastAsia="仿宋_GB2312" w:cs="仿宋_GB2312"/>
                <w:i w:val="0"/>
                <w:iCs w:val="0"/>
                <w:caps w:val="0"/>
                <w:color w:val="333333"/>
                <w:spacing w:val="0"/>
                <w:sz w:val="31"/>
                <w:szCs w:val="31"/>
                <w:highlight w:val="none"/>
                <w:shd w:val="clear"/>
                <w:lang w:val="en-US" w:eastAsia="zh-CN"/>
              </w:rPr>
              <w:t>847040.00</w:t>
            </w:r>
          </w:p>
        </w:tc>
        <w:tc>
          <w:tcPr>
            <w:tcW w:w="1665" w:type="dxa"/>
            <w:vAlign w:val="center"/>
          </w:tcPr>
          <w:p w14:paraId="6F5D9E0F">
            <w:pPr>
              <w:pageBreakBefore w:val="0"/>
              <w:numPr>
                <w:ilvl w:val="0"/>
                <w:numId w:val="0"/>
              </w:numPr>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highlight w:val="none"/>
                <w:lang w:eastAsia="zh-CN"/>
              </w:rPr>
            </w:pPr>
          </w:p>
        </w:tc>
        <w:tc>
          <w:tcPr>
            <w:tcW w:w="1735" w:type="dxa"/>
            <w:vAlign w:val="center"/>
          </w:tcPr>
          <w:p w14:paraId="08B31C29">
            <w:pPr>
              <w:pageBreakBefore w:val="0"/>
              <w:numPr>
                <w:ilvl w:val="0"/>
                <w:numId w:val="0"/>
              </w:numPr>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highlight w:val="none"/>
                <w:lang w:eastAsia="zh-CN"/>
              </w:rPr>
            </w:pPr>
          </w:p>
        </w:tc>
      </w:tr>
      <w:tr w14:paraId="14757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13177" w:type="dxa"/>
            <w:gridSpan w:val="8"/>
            <w:vAlign w:val="center"/>
          </w:tcPr>
          <w:p w14:paraId="3DFAF8C3">
            <w:pPr>
              <w:pageBreakBefore w:val="0"/>
              <w:numPr>
                <w:ilvl w:val="0"/>
                <w:numId w:val="0"/>
              </w:numPr>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报价单位</w:t>
            </w:r>
            <w:r>
              <w:rPr>
                <w:rFonts w:hint="eastAsia" w:ascii="仿宋_GB2312" w:hAnsi="仿宋_GB2312" w:eastAsia="仿宋_GB2312" w:cs="仿宋_GB2312"/>
                <w:sz w:val="28"/>
                <w:szCs w:val="28"/>
                <w:highlight w:val="none"/>
                <w:u w:val="single"/>
                <w:lang w:eastAsia="zh-CN"/>
              </w:rPr>
              <w:t>（</w:t>
            </w:r>
            <w:r>
              <w:rPr>
                <w:rFonts w:hint="eastAsia" w:ascii="仿宋_GB2312" w:hAnsi="仿宋_GB2312" w:eastAsia="仿宋_GB2312" w:cs="仿宋_GB2312"/>
                <w:sz w:val="28"/>
                <w:szCs w:val="28"/>
                <w:highlight w:val="none"/>
                <w:u w:val="single"/>
                <w:lang w:val="en-US" w:eastAsia="zh-CN"/>
              </w:rPr>
              <w:t>公</w:t>
            </w:r>
            <w:r>
              <w:rPr>
                <w:rFonts w:hint="eastAsia" w:ascii="仿宋_GB2312" w:hAnsi="仿宋_GB2312" w:eastAsia="仿宋_GB2312" w:cs="仿宋_GB2312"/>
                <w:sz w:val="28"/>
                <w:szCs w:val="28"/>
                <w:highlight w:val="none"/>
                <w:u w:val="single"/>
                <w:lang w:eastAsia="zh-CN"/>
              </w:rPr>
              <w:t xml:space="preserve">章）：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lang w:eastAsia="zh-CN"/>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none"/>
                <w:lang w:val="en-US" w:eastAsia="zh-CN"/>
              </w:rPr>
              <w:t>，单位</w:t>
            </w:r>
            <w:r>
              <w:rPr>
                <w:rFonts w:hint="eastAsia" w:ascii="仿宋_GB2312" w:hAnsi="仿宋_GB2312" w:eastAsia="仿宋_GB2312" w:cs="仿宋_GB2312"/>
                <w:sz w:val="28"/>
                <w:szCs w:val="28"/>
                <w:highlight w:val="none"/>
                <w:lang w:eastAsia="zh-CN"/>
              </w:rPr>
              <w:t>地址：</w:t>
            </w:r>
            <w:r>
              <w:rPr>
                <w:rFonts w:hint="eastAsia" w:ascii="仿宋_GB2312" w:hAnsi="仿宋_GB2312" w:eastAsia="仿宋_GB2312" w:cs="仿宋_GB2312"/>
                <w:sz w:val="28"/>
                <w:szCs w:val="28"/>
                <w:highlight w:val="none"/>
                <w:u w:val="single"/>
                <w:lang w:eastAsia="zh-CN"/>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lang w:eastAsia="zh-CN"/>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lang w:eastAsia="zh-CN"/>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eastAsia="zh-CN"/>
              </w:rPr>
              <w:t>报价有效期</w:t>
            </w:r>
            <w:r>
              <w:rPr>
                <w:rFonts w:hint="eastAsia" w:ascii="仿宋_GB2312" w:hAnsi="仿宋_GB2312" w:eastAsia="仿宋_GB2312" w:cs="仿宋_GB2312"/>
                <w:sz w:val="28"/>
                <w:szCs w:val="28"/>
                <w:highlight w:val="none"/>
                <w:u w:val="single"/>
                <w:lang w:val="en-US" w:eastAsia="zh-CN"/>
              </w:rPr>
              <w:t>60</w:t>
            </w:r>
            <w:r>
              <w:rPr>
                <w:rFonts w:hint="eastAsia" w:ascii="仿宋_GB2312" w:hAnsi="仿宋_GB2312" w:eastAsia="仿宋_GB2312" w:cs="仿宋_GB2312"/>
                <w:sz w:val="28"/>
                <w:szCs w:val="28"/>
                <w:highlight w:val="none"/>
                <w:lang w:val="en-US" w:eastAsia="zh-CN"/>
              </w:rPr>
              <w:t xml:space="preserve">天。  </w:t>
            </w:r>
          </w:p>
          <w:p w14:paraId="00C38B89">
            <w:pPr>
              <w:pageBreakBefore w:val="0"/>
              <w:numPr>
                <w:ilvl w:val="0"/>
                <w:numId w:val="0"/>
              </w:numPr>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法人或</w:t>
            </w:r>
            <w:r>
              <w:rPr>
                <w:rFonts w:hint="eastAsia" w:ascii="仿宋_GB2312" w:hAnsi="仿宋_GB2312" w:eastAsia="仿宋_GB2312" w:cs="仿宋_GB2312"/>
                <w:sz w:val="28"/>
                <w:szCs w:val="28"/>
                <w:highlight w:val="none"/>
                <w:lang w:val="en-US" w:eastAsia="zh-CN"/>
              </w:rPr>
              <w:t>委托代理人（签字或盖章）：</w:t>
            </w:r>
            <w:r>
              <w:rPr>
                <w:rFonts w:hint="eastAsia" w:ascii="仿宋_GB2312" w:hAnsi="仿宋_GB2312" w:eastAsia="仿宋_GB2312" w:cs="仿宋_GB2312"/>
                <w:sz w:val="28"/>
                <w:szCs w:val="28"/>
                <w:highlight w:val="none"/>
                <w:u w:val="single"/>
                <w:lang w:eastAsia="zh-CN"/>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lang w:eastAsia="zh-CN"/>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none"/>
                <w:lang w:val="en-US" w:eastAsia="zh-CN"/>
              </w:rPr>
              <w:t>联系</w:t>
            </w:r>
            <w:r>
              <w:rPr>
                <w:rFonts w:hint="eastAsia" w:ascii="仿宋_GB2312" w:hAnsi="仿宋_GB2312" w:eastAsia="仿宋_GB2312" w:cs="仿宋_GB2312"/>
                <w:sz w:val="28"/>
                <w:szCs w:val="28"/>
                <w:highlight w:val="none"/>
                <w:lang w:eastAsia="zh-CN"/>
              </w:rPr>
              <w:t>电话：</w:t>
            </w:r>
            <w:r>
              <w:rPr>
                <w:rFonts w:hint="eastAsia" w:ascii="仿宋_GB2312" w:hAnsi="仿宋_GB2312" w:eastAsia="仿宋_GB2312" w:cs="仿宋_GB2312"/>
                <w:sz w:val="28"/>
                <w:szCs w:val="28"/>
                <w:highlight w:val="none"/>
                <w:u w:val="single"/>
                <w:lang w:eastAsia="zh-CN"/>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lang w:eastAsia="zh-CN"/>
              </w:rPr>
              <w:t xml:space="preserve">      ，</w:t>
            </w:r>
            <w:r>
              <w:rPr>
                <w:rFonts w:hint="eastAsia" w:ascii="仿宋_GB2312" w:hAnsi="仿宋_GB2312" w:eastAsia="仿宋_GB2312" w:cs="仿宋_GB2312"/>
                <w:sz w:val="28"/>
                <w:szCs w:val="28"/>
                <w:highlight w:val="none"/>
                <w:lang w:val="en-US" w:eastAsia="zh-CN"/>
              </w:rPr>
              <w:t>报价日期：</w:t>
            </w:r>
            <w:r>
              <w:rPr>
                <w:rFonts w:hint="eastAsia" w:ascii="仿宋_GB2312" w:hAnsi="仿宋_GB2312" w:eastAsia="仿宋_GB2312" w:cs="仿宋_GB2312"/>
                <w:sz w:val="28"/>
                <w:szCs w:val="28"/>
                <w:highlight w:val="none"/>
                <w:u w:val="single"/>
                <w:lang w:val="en-US" w:eastAsia="zh-CN"/>
              </w:rPr>
              <w:t xml:space="preserve">          。        </w:t>
            </w:r>
          </w:p>
        </w:tc>
      </w:tr>
      <w:tr w14:paraId="31C15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3177" w:type="dxa"/>
            <w:gridSpan w:val="8"/>
            <w:vAlign w:val="center"/>
          </w:tcPr>
          <w:p w14:paraId="165712AF">
            <w:pPr>
              <w:pageBreakBefore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其他说明：</w:t>
            </w:r>
          </w:p>
          <w:p w14:paraId="111EBF96">
            <w:pPr>
              <w:pageBreakBefore w:val="0"/>
              <w:numPr>
                <w:ilvl w:val="0"/>
                <w:numId w:val="3"/>
              </w:numPr>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本项目不接受联合体报价。</w:t>
            </w:r>
          </w:p>
          <w:p w14:paraId="7B579C4D">
            <w:pPr>
              <w:pageBreakBefore w:val="0"/>
              <w:numPr>
                <w:ilvl w:val="0"/>
                <w:numId w:val="3"/>
              </w:numPr>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本项目按照按优惠率报价。报价=预算价</w:t>
            </w:r>
            <w:r>
              <w:rPr>
                <w:rFonts w:hint="default" w:ascii="Arial" w:hAnsi="Arial" w:eastAsia="仿宋_GB2312" w:cs="Arial"/>
                <w:color w:val="auto"/>
                <w:sz w:val="28"/>
                <w:szCs w:val="28"/>
                <w:highlight w:val="none"/>
                <w:lang w:val="en-US" w:eastAsia="zh-CN"/>
              </w:rPr>
              <w:t>×</w:t>
            </w:r>
            <w:r>
              <w:rPr>
                <w:rFonts w:hint="eastAsia" w:ascii="Arial" w:hAnsi="Arial" w:eastAsia="仿宋_GB2312" w:cs="Arial"/>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val="en-US" w:eastAsia="zh-CN"/>
              </w:rPr>
              <w:t>优惠率）。优惠率与报价计算结果不一致的，以优惠率为准计价。</w:t>
            </w:r>
          </w:p>
          <w:p w14:paraId="22F56911">
            <w:pPr>
              <w:pageBreakBefore w:val="0"/>
              <w:numPr>
                <w:ilvl w:val="0"/>
                <w:numId w:val="3"/>
              </w:numPr>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报价单</w:t>
            </w:r>
            <w:r>
              <w:rPr>
                <w:rFonts w:hint="eastAsia" w:ascii="仿宋_GB2312" w:hAnsi="仿宋_GB2312" w:eastAsia="仿宋_GB2312" w:cs="仿宋_GB2312"/>
                <w:color w:val="auto"/>
                <w:sz w:val="28"/>
                <w:szCs w:val="28"/>
                <w:highlight w:val="none"/>
                <w:lang w:eastAsia="zh-CN"/>
              </w:rPr>
              <w:t>涂改无效。</w:t>
            </w:r>
          </w:p>
        </w:tc>
      </w:tr>
    </w:tbl>
    <w:p w14:paraId="69AD6F19">
      <w:pPr>
        <w:pageBreakBefore w:val="0"/>
        <w:shd w:val="clear"/>
        <w:kinsoku/>
        <w:wordWrap/>
        <w:overflowPunct/>
        <w:topLinePunct w:val="0"/>
        <w:autoSpaceDE/>
        <w:autoSpaceDN/>
        <w:bidi w:val="0"/>
        <w:adjustRightInd/>
        <w:snapToGrid/>
        <w:spacing w:line="560" w:lineRule="exact"/>
        <w:jc w:val="both"/>
        <w:textAlignment w:val="auto"/>
        <w:rPr>
          <w:rFonts w:hint="eastAsia" w:ascii="宋体" w:hAnsi="宋体"/>
          <w:sz w:val="32"/>
          <w:szCs w:val="32"/>
          <w:highlight w:val="none"/>
          <w:u w:val="none"/>
          <w:lang w:val="en-US" w:eastAsia="zh-CN"/>
        </w:rPr>
        <w:sectPr>
          <w:pgSz w:w="16838" w:h="11906" w:orient="landscape"/>
          <w:pgMar w:top="1800" w:right="1440" w:bottom="1800" w:left="1440" w:header="851" w:footer="992" w:gutter="0"/>
          <w:pgNumType w:fmt="decimal"/>
          <w:cols w:space="425" w:num="1"/>
          <w:docGrid w:type="lines" w:linePitch="312" w:charSpace="0"/>
        </w:sectPr>
      </w:pPr>
    </w:p>
    <w:p w14:paraId="184E6EA3">
      <w:pPr>
        <w:pageBreakBefore w:val="0"/>
        <w:shd w:val="clear"/>
        <w:kinsoku/>
        <w:wordWrap/>
        <w:overflowPunct/>
        <w:topLinePunct w:val="0"/>
        <w:autoSpaceDE/>
        <w:autoSpaceDN/>
        <w:bidi w:val="0"/>
        <w:adjustRightInd/>
        <w:snapToGrid/>
        <w:spacing w:line="560" w:lineRule="exact"/>
        <w:jc w:val="both"/>
        <w:textAlignment w:val="auto"/>
        <w:rPr>
          <w:rFonts w:hint="eastAsia" w:ascii="宋体" w:hAnsi="宋体" w:eastAsia="宋体" w:cs="宋体"/>
          <w:b/>
          <w:bCs/>
          <w:color w:val="000000"/>
          <w:sz w:val="32"/>
          <w:szCs w:val="32"/>
          <w:highlight w:val="none"/>
        </w:rPr>
      </w:pPr>
      <w:r>
        <w:rPr>
          <w:rFonts w:hint="eastAsia" w:ascii="宋体" w:hAnsi="宋体"/>
          <w:sz w:val="32"/>
          <w:szCs w:val="32"/>
          <w:highlight w:val="none"/>
          <w:u w:val="none"/>
          <w:lang w:val="en-US" w:eastAsia="zh-CN"/>
        </w:rPr>
        <w:t>附件3</w:t>
      </w:r>
    </w:p>
    <w:p w14:paraId="3D70FFD7">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outlineLvl w:val="9"/>
        <w:rPr>
          <w:highlight w:val="none"/>
        </w:rPr>
      </w:pPr>
      <w:r>
        <w:rPr>
          <w:rFonts w:hint="eastAsia" w:ascii="宋体" w:hAnsi="宋体" w:eastAsia="宋体" w:cs="宋体"/>
          <w:b/>
          <w:bCs/>
          <w:color w:val="000000"/>
          <w:sz w:val="44"/>
          <w:szCs w:val="44"/>
          <w:highlight w:val="none"/>
        </w:rPr>
        <w:t>法定代表人授权书</w:t>
      </w:r>
    </w:p>
    <w:p w14:paraId="090BD776">
      <w:pPr>
        <w:pStyle w:val="9"/>
        <w:keepNext w:val="0"/>
        <w:keepLines w:val="0"/>
        <w:pageBreakBefore w:val="0"/>
        <w:widowControl w:val="0"/>
        <w:shd w:val="clear"/>
        <w:kinsoku/>
        <w:wordWrap/>
        <w:overflowPunct/>
        <w:topLinePunct w:val="0"/>
        <w:autoSpaceDE/>
        <w:autoSpaceDN/>
        <w:bidi w:val="0"/>
        <w:adjustRightInd/>
        <w:snapToGrid/>
        <w:spacing w:line="560" w:lineRule="exact"/>
        <w:textAlignment w:val="auto"/>
        <w:outlineLvl w:val="9"/>
        <w:rPr>
          <w:rFonts w:hint="eastAsia" w:ascii="宋体" w:hAnsi="宋体" w:cs="宋体"/>
          <w:color w:val="000000"/>
          <w:sz w:val="28"/>
          <w:szCs w:val="28"/>
          <w:highlight w:val="none"/>
          <w:lang w:val="en-US" w:eastAsia="zh-CN"/>
        </w:rPr>
      </w:pPr>
    </w:p>
    <w:p w14:paraId="24CC4179">
      <w:pPr>
        <w:pStyle w:val="9"/>
        <w:keepNext w:val="0"/>
        <w:keepLines w:val="0"/>
        <w:pageBreakBefore w:val="0"/>
        <w:widowControl w:val="0"/>
        <w:shd w:val="clear"/>
        <w:kinsoku/>
        <w:wordWrap/>
        <w:overflowPunct/>
        <w:topLinePunct w:val="0"/>
        <w:autoSpaceDE/>
        <w:autoSpaceDN/>
        <w:bidi w:val="0"/>
        <w:adjustRightInd/>
        <w:snapToGrid/>
        <w:spacing w:line="560" w:lineRule="exact"/>
        <w:textAlignment w:val="auto"/>
        <w:outlineLvl w:val="9"/>
        <w:rPr>
          <w:rFonts w:ascii="宋体" w:hAnsi="宋体" w:cs="宋体"/>
          <w:color w:val="000000"/>
          <w:sz w:val="28"/>
          <w:szCs w:val="28"/>
          <w:highlight w:val="none"/>
        </w:rPr>
      </w:pPr>
      <w:r>
        <w:rPr>
          <w:rFonts w:hint="eastAsia" w:ascii="宋体" w:hAnsi="宋体" w:cs="宋体"/>
          <w:color w:val="000000"/>
          <w:sz w:val="28"/>
          <w:szCs w:val="28"/>
          <w:highlight w:val="none"/>
          <w:lang w:val="en-US" w:eastAsia="zh-CN"/>
        </w:rPr>
        <w:t>广西警察学院</w:t>
      </w:r>
      <w:r>
        <w:rPr>
          <w:rFonts w:hint="eastAsia" w:ascii="宋体" w:hAnsi="宋体" w:cs="宋体"/>
          <w:color w:val="000000"/>
          <w:sz w:val="28"/>
          <w:szCs w:val="28"/>
          <w:highlight w:val="none"/>
        </w:rPr>
        <w:t>：</w:t>
      </w:r>
    </w:p>
    <w:p w14:paraId="5E610F3E">
      <w:pPr>
        <w:pStyle w:val="9"/>
        <w:keepNext w:val="0"/>
        <w:keepLines w:val="0"/>
        <w:pageBreakBefore w:val="0"/>
        <w:widowControl w:val="0"/>
        <w:shd w:val="clear"/>
        <w:kinsoku/>
        <w:wordWrap/>
        <w:overflowPunct/>
        <w:topLinePunct w:val="0"/>
        <w:autoSpaceDE/>
        <w:autoSpaceDN/>
        <w:bidi w:val="0"/>
        <w:adjustRightInd/>
        <w:snapToGrid/>
        <w:spacing w:line="560" w:lineRule="exact"/>
        <w:ind w:firstLine="560" w:firstLineChars="200"/>
        <w:textAlignment w:val="auto"/>
        <w:outlineLvl w:val="9"/>
        <w:rPr>
          <w:rFonts w:ascii="宋体" w:hAnsi="宋体" w:cs="宋体"/>
          <w:color w:val="000000"/>
          <w:sz w:val="28"/>
          <w:szCs w:val="28"/>
          <w:highlight w:val="none"/>
        </w:rPr>
      </w:pPr>
      <w:r>
        <w:rPr>
          <w:rFonts w:hint="eastAsia" w:ascii="宋体" w:hAnsi="宋体" w:cs="宋体"/>
          <w:color w:val="000000"/>
          <w:sz w:val="28"/>
          <w:szCs w:val="28"/>
          <w:highlight w:val="none"/>
        </w:rPr>
        <w:t>兹授权</w:t>
      </w:r>
      <w:r>
        <w:rPr>
          <w:rFonts w:ascii="宋体" w:hAnsi="宋体" w:cs="宋体"/>
          <w:color w:val="000000"/>
          <w:sz w:val="28"/>
          <w:szCs w:val="28"/>
          <w:highlight w:val="none"/>
          <w:u w:val="single"/>
        </w:rPr>
        <w:t xml:space="preserve">  </w:t>
      </w:r>
      <w:r>
        <w:rPr>
          <w:rFonts w:hint="eastAsia" w:ascii="宋体" w:hAnsi="宋体" w:cs="宋体"/>
          <w:color w:val="000000"/>
          <w:sz w:val="28"/>
          <w:szCs w:val="28"/>
          <w:highlight w:val="none"/>
          <w:u w:val="single"/>
          <w:lang w:val="en-US" w:eastAsia="zh-CN"/>
        </w:rPr>
        <w:t xml:space="preserve">  </w:t>
      </w:r>
      <w:r>
        <w:rPr>
          <w:rFonts w:ascii="宋体" w:hAnsi="宋体" w:cs="宋体"/>
          <w:color w:val="000000"/>
          <w:sz w:val="28"/>
          <w:szCs w:val="28"/>
          <w:highlight w:val="none"/>
          <w:u w:val="single"/>
        </w:rPr>
        <w:t xml:space="preserve">    </w:t>
      </w:r>
      <w:r>
        <w:rPr>
          <w:rFonts w:hint="eastAsia" w:ascii="宋体" w:hAnsi="宋体" w:cs="宋体"/>
          <w:color w:val="000000"/>
          <w:sz w:val="28"/>
          <w:szCs w:val="28"/>
          <w:highlight w:val="none"/>
        </w:rPr>
        <w:t>为我公司参加贵单位组织的</w:t>
      </w:r>
      <w:r>
        <w:rPr>
          <w:rFonts w:ascii="宋体" w:hAnsi="宋体" w:cs="宋体"/>
          <w:bCs/>
          <w:color w:val="000000"/>
          <w:sz w:val="28"/>
          <w:szCs w:val="28"/>
          <w:highlight w:val="none"/>
          <w:u w:val="single"/>
        </w:rPr>
        <w:t xml:space="preserve"> </w:t>
      </w:r>
      <w:r>
        <w:rPr>
          <w:rFonts w:hint="eastAsia" w:ascii="宋体" w:hAnsi="宋体" w:cs="宋体"/>
          <w:bCs/>
          <w:color w:val="000000"/>
          <w:sz w:val="28"/>
          <w:szCs w:val="28"/>
          <w:highlight w:val="none"/>
          <w:u w:val="single"/>
          <w:lang w:val="en-US" w:eastAsia="zh-CN"/>
        </w:rPr>
        <w:t xml:space="preserve">  </w:t>
      </w:r>
      <w:r>
        <w:rPr>
          <w:rFonts w:hint="eastAsia" w:hAnsi="宋体" w:cs="宋体"/>
          <w:bCs/>
          <w:color w:val="000000"/>
          <w:sz w:val="28"/>
          <w:szCs w:val="28"/>
          <w:highlight w:val="none"/>
          <w:u w:val="single"/>
          <w:lang w:val="en-US" w:eastAsia="zh-CN"/>
        </w:rPr>
        <w:t xml:space="preserve">   </w:t>
      </w:r>
      <w:r>
        <w:rPr>
          <w:rFonts w:hint="eastAsia" w:ascii="宋体" w:hAnsi="宋体" w:cs="宋体"/>
          <w:bCs/>
          <w:color w:val="000000"/>
          <w:sz w:val="28"/>
          <w:szCs w:val="28"/>
          <w:highlight w:val="none"/>
          <w:u w:val="single"/>
          <w:lang w:eastAsia="zh-CN"/>
        </w:rPr>
        <w:t>（</w:t>
      </w:r>
      <w:r>
        <w:rPr>
          <w:rFonts w:hint="eastAsia" w:ascii="宋体" w:hAnsi="宋体" w:cs="宋体"/>
          <w:bCs/>
          <w:color w:val="000000"/>
          <w:sz w:val="28"/>
          <w:szCs w:val="28"/>
          <w:highlight w:val="none"/>
          <w:u w:val="single"/>
          <w:lang w:val="en-US" w:eastAsia="zh-CN"/>
        </w:rPr>
        <w:t>项目名称</w:t>
      </w:r>
      <w:r>
        <w:rPr>
          <w:rFonts w:hint="eastAsia" w:ascii="宋体" w:hAnsi="宋体" w:cs="宋体"/>
          <w:bCs/>
          <w:color w:val="000000"/>
          <w:sz w:val="28"/>
          <w:szCs w:val="28"/>
          <w:highlight w:val="none"/>
          <w:u w:val="single"/>
          <w:lang w:eastAsia="zh-CN"/>
        </w:rPr>
        <w:t>）</w:t>
      </w:r>
      <w:r>
        <w:rPr>
          <w:rFonts w:ascii="宋体" w:hAnsi="宋体" w:cs="宋体"/>
          <w:bCs/>
          <w:color w:val="000000"/>
          <w:sz w:val="28"/>
          <w:szCs w:val="28"/>
          <w:highlight w:val="none"/>
          <w:u w:val="single"/>
        </w:rPr>
        <w:t xml:space="preserve"> </w:t>
      </w:r>
      <w:r>
        <w:rPr>
          <w:rFonts w:hint="eastAsia" w:ascii="宋体" w:hAnsi="宋体" w:cs="宋体"/>
          <w:color w:val="000000"/>
          <w:sz w:val="28"/>
          <w:szCs w:val="28"/>
          <w:highlight w:val="none"/>
        </w:rPr>
        <w:t>的投标/报价代表人，全权代表我公司处理在该项目投标/报价活动中的一切事宜。</w:t>
      </w:r>
    </w:p>
    <w:tbl>
      <w:tblPr>
        <w:tblStyle w:val="14"/>
        <w:tblpPr w:leftFromText="180" w:rightFromText="180" w:vertAnchor="text" w:horzAnchor="page" w:tblpX="7615" w:tblpY="147"/>
        <w:tblOverlap w:val="never"/>
        <w:tblW w:w="9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1"/>
      </w:tblGrid>
      <w:tr w14:paraId="6C60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exact"/>
        </w:trPr>
        <w:tc>
          <w:tcPr>
            <w:tcW w:w="9131" w:type="dxa"/>
          </w:tcPr>
          <w:p w14:paraId="77ECDAF6">
            <w:pPr>
              <w:pageBreakBefore w:val="0"/>
              <w:widowControl w:val="0"/>
              <w:shd w:val="clear"/>
              <w:kinsoku/>
              <w:wordWrap/>
              <w:overflowPunct/>
              <w:topLinePunct w:val="0"/>
              <w:autoSpaceDE/>
              <w:autoSpaceDN/>
              <w:bidi w:val="0"/>
              <w:adjustRightInd/>
              <w:snapToGrid/>
              <w:spacing w:line="560" w:lineRule="exact"/>
              <w:textAlignment w:val="auto"/>
              <w:rPr>
                <w:rFonts w:ascii="宋体" w:hAnsi="宋体" w:eastAsia="宋体" w:cs="宋体"/>
                <w:sz w:val="28"/>
                <w:szCs w:val="28"/>
                <w:highlight w:val="none"/>
              </w:rPr>
            </w:pPr>
            <w:r>
              <w:rPr>
                <w:rFonts w:hint="eastAsia" w:ascii="宋体" w:hAnsi="宋体" w:eastAsia="宋体" w:cs="宋体"/>
                <w:sz w:val="28"/>
                <w:szCs w:val="28"/>
                <w:highlight w:val="none"/>
              </w:rPr>
              <w:t>粘贴被授权人身份证（正反面复印件）</w:t>
            </w:r>
          </w:p>
          <w:p w14:paraId="40B0D970">
            <w:pPr>
              <w:pageBreakBefore w:val="0"/>
              <w:widowControl w:val="0"/>
              <w:shd w:val="clear"/>
              <w:kinsoku/>
              <w:wordWrap/>
              <w:overflowPunct/>
              <w:topLinePunct w:val="0"/>
              <w:autoSpaceDE/>
              <w:autoSpaceDN/>
              <w:bidi w:val="0"/>
              <w:adjustRightInd/>
              <w:snapToGrid/>
              <w:spacing w:line="560" w:lineRule="exact"/>
              <w:textAlignment w:val="auto"/>
              <w:rPr>
                <w:rFonts w:ascii="宋体" w:hAnsi="宋体" w:eastAsia="宋体" w:cs="宋体"/>
                <w:sz w:val="28"/>
                <w:szCs w:val="28"/>
                <w:highlight w:val="none"/>
              </w:rPr>
            </w:pPr>
          </w:p>
          <w:p w14:paraId="24C084D8">
            <w:pPr>
              <w:pageBreakBefore w:val="0"/>
              <w:widowControl w:val="0"/>
              <w:shd w:val="clear"/>
              <w:kinsoku/>
              <w:wordWrap/>
              <w:overflowPunct/>
              <w:topLinePunct w:val="0"/>
              <w:autoSpaceDE/>
              <w:autoSpaceDN/>
              <w:bidi w:val="0"/>
              <w:adjustRightInd/>
              <w:snapToGrid/>
              <w:spacing w:line="560" w:lineRule="exact"/>
              <w:textAlignment w:val="auto"/>
              <w:rPr>
                <w:rFonts w:ascii="宋体" w:hAnsi="宋体" w:eastAsia="宋体" w:cs="宋体"/>
                <w:sz w:val="28"/>
                <w:szCs w:val="28"/>
                <w:highlight w:val="none"/>
              </w:rPr>
            </w:pPr>
          </w:p>
          <w:p w14:paraId="22A6D21A">
            <w:pPr>
              <w:pageBreakBefore w:val="0"/>
              <w:widowControl w:val="0"/>
              <w:shd w:val="clear"/>
              <w:kinsoku/>
              <w:wordWrap/>
              <w:overflowPunct/>
              <w:topLinePunct w:val="0"/>
              <w:autoSpaceDE/>
              <w:autoSpaceDN/>
              <w:bidi w:val="0"/>
              <w:adjustRightInd/>
              <w:snapToGrid/>
              <w:spacing w:line="560" w:lineRule="exact"/>
              <w:textAlignment w:val="auto"/>
              <w:rPr>
                <w:rFonts w:ascii="宋体" w:hAnsi="宋体" w:eastAsia="宋体" w:cs="宋体"/>
                <w:sz w:val="28"/>
                <w:szCs w:val="28"/>
                <w:highlight w:val="none"/>
              </w:rPr>
            </w:pPr>
          </w:p>
        </w:tc>
      </w:tr>
    </w:tbl>
    <w:p w14:paraId="7E027DBE">
      <w:pPr>
        <w:pStyle w:val="9"/>
        <w:keepNext w:val="0"/>
        <w:keepLines w:val="0"/>
        <w:pageBreakBefore w:val="0"/>
        <w:widowControl w:val="0"/>
        <w:shd w:val="clear"/>
        <w:kinsoku/>
        <w:wordWrap/>
        <w:overflowPunct/>
        <w:topLinePunct w:val="0"/>
        <w:autoSpaceDE/>
        <w:autoSpaceDN/>
        <w:bidi w:val="0"/>
        <w:adjustRightInd/>
        <w:snapToGrid/>
        <w:spacing w:line="560" w:lineRule="exact"/>
        <w:textAlignment w:val="auto"/>
        <w:outlineLvl w:val="9"/>
        <w:rPr>
          <w:rFonts w:ascii="宋体" w:hAnsi="宋体" w:cs="宋体"/>
          <w:color w:val="000000"/>
          <w:sz w:val="28"/>
          <w:szCs w:val="28"/>
          <w:highlight w:val="none"/>
        </w:rPr>
      </w:pPr>
      <w:r>
        <w:rPr>
          <w:rFonts w:hint="eastAsia" w:ascii="宋体" w:hAnsi="宋体" w:cs="宋体"/>
          <w:color w:val="000000"/>
          <w:sz w:val="28"/>
          <w:szCs w:val="28"/>
          <w:highlight w:val="none"/>
        </w:rPr>
        <w:t>授权单位（盖章）：</w:t>
      </w:r>
      <w:r>
        <w:rPr>
          <w:rFonts w:ascii="宋体" w:hAnsi="宋体" w:cs="宋体"/>
          <w:color w:val="000000"/>
          <w:sz w:val="28"/>
          <w:szCs w:val="28"/>
          <w:highlight w:val="none"/>
          <w:u w:val="single"/>
        </w:rPr>
        <w:t xml:space="preserve">                         </w:t>
      </w:r>
    </w:p>
    <w:p w14:paraId="1698A980">
      <w:pPr>
        <w:pStyle w:val="9"/>
        <w:keepNext w:val="0"/>
        <w:keepLines w:val="0"/>
        <w:pageBreakBefore w:val="0"/>
        <w:widowControl w:val="0"/>
        <w:shd w:val="clear"/>
        <w:kinsoku/>
        <w:wordWrap/>
        <w:overflowPunct/>
        <w:topLinePunct w:val="0"/>
        <w:autoSpaceDE/>
        <w:autoSpaceDN/>
        <w:bidi w:val="0"/>
        <w:adjustRightInd/>
        <w:snapToGrid/>
        <w:spacing w:line="560" w:lineRule="exact"/>
        <w:textAlignment w:val="auto"/>
        <w:outlineLvl w:val="9"/>
        <w:rPr>
          <w:rFonts w:ascii="宋体" w:hAnsi="宋体" w:cs="宋体"/>
          <w:color w:val="000000"/>
          <w:sz w:val="28"/>
          <w:szCs w:val="28"/>
          <w:highlight w:val="none"/>
          <w:u w:val="single"/>
        </w:rPr>
      </w:pPr>
      <w:r>
        <w:rPr>
          <w:rFonts w:hint="eastAsia" w:ascii="宋体" w:hAnsi="宋体" w:cs="宋体"/>
          <w:color w:val="000000"/>
          <w:sz w:val="28"/>
          <w:szCs w:val="28"/>
          <w:highlight w:val="none"/>
        </w:rPr>
        <w:t>法定代表人（签字或签章）：</w:t>
      </w:r>
      <w:r>
        <w:rPr>
          <w:rFonts w:ascii="宋体" w:hAnsi="宋体" w:cs="宋体"/>
          <w:color w:val="000000"/>
          <w:sz w:val="28"/>
          <w:szCs w:val="28"/>
          <w:highlight w:val="none"/>
          <w:u w:val="single"/>
        </w:rPr>
        <w:t xml:space="preserve">               </w:t>
      </w:r>
    </w:p>
    <w:p w14:paraId="3571F70F">
      <w:pPr>
        <w:pStyle w:val="9"/>
        <w:keepNext w:val="0"/>
        <w:keepLines w:val="0"/>
        <w:pageBreakBefore w:val="0"/>
        <w:widowControl w:val="0"/>
        <w:shd w:val="clear"/>
        <w:kinsoku/>
        <w:wordWrap/>
        <w:overflowPunct/>
        <w:topLinePunct w:val="0"/>
        <w:autoSpaceDE/>
        <w:autoSpaceDN/>
        <w:bidi w:val="0"/>
        <w:adjustRightInd/>
        <w:snapToGrid/>
        <w:spacing w:line="560" w:lineRule="exact"/>
        <w:textAlignment w:val="auto"/>
        <w:outlineLvl w:val="9"/>
        <w:rPr>
          <w:rFonts w:ascii="宋体" w:hAnsi="宋体" w:cs="宋体"/>
          <w:color w:val="000000"/>
          <w:sz w:val="28"/>
          <w:szCs w:val="28"/>
          <w:highlight w:val="none"/>
        </w:rPr>
      </w:pPr>
      <w:r>
        <w:rPr>
          <w:rFonts w:hint="eastAsia" w:ascii="宋体" w:hAnsi="宋体" w:cs="宋体"/>
          <w:color w:val="000000"/>
          <w:sz w:val="28"/>
          <w:szCs w:val="28"/>
          <w:highlight w:val="none"/>
        </w:rPr>
        <w:t>签发日期：</w:t>
      </w:r>
      <w:r>
        <w:rPr>
          <w:rFonts w:ascii="宋体" w:hAnsi="宋体" w:cs="宋体"/>
          <w:color w:val="000000"/>
          <w:sz w:val="28"/>
          <w:szCs w:val="28"/>
          <w:highlight w:val="none"/>
          <w:u w:val="single"/>
        </w:rPr>
        <w:t xml:space="preserve">      </w:t>
      </w:r>
      <w:r>
        <w:rPr>
          <w:rFonts w:hint="eastAsia" w:ascii="宋体" w:hAnsi="宋体" w:cs="宋体"/>
          <w:color w:val="000000"/>
          <w:sz w:val="28"/>
          <w:szCs w:val="28"/>
          <w:highlight w:val="none"/>
        </w:rPr>
        <w:t>年</w:t>
      </w:r>
      <w:r>
        <w:rPr>
          <w:rFonts w:ascii="宋体" w:hAnsi="宋体" w:cs="宋体"/>
          <w:color w:val="000000"/>
          <w:sz w:val="28"/>
          <w:szCs w:val="28"/>
          <w:highlight w:val="none"/>
          <w:u w:val="single"/>
        </w:rPr>
        <w:t xml:space="preserve">    </w:t>
      </w:r>
      <w:r>
        <w:rPr>
          <w:rFonts w:hint="eastAsia" w:ascii="宋体" w:hAnsi="宋体" w:cs="宋体"/>
          <w:color w:val="000000"/>
          <w:sz w:val="28"/>
          <w:szCs w:val="28"/>
          <w:highlight w:val="none"/>
        </w:rPr>
        <w:t>月</w:t>
      </w:r>
      <w:r>
        <w:rPr>
          <w:rFonts w:ascii="宋体" w:hAnsi="宋体" w:cs="宋体"/>
          <w:color w:val="000000"/>
          <w:sz w:val="28"/>
          <w:szCs w:val="28"/>
          <w:highlight w:val="none"/>
          <w:u w:val="single"/>
        </w:rPr>
        <w:t xml:space="preserve">    </w:t>
      </w:r>
      <w:r>
        <w:rPr>
          <w:rFonts w:hint="eastAsia" w:ascii="宋体" w:hAnsi="宋体" w:cs="宋体"/>
          <w:color w:val="000000"/>
          <w:sz w:val="28"/>
          <w:szCs w:val="28"/>
          <w:highlight w:val="none"/>
        </w:rPr>
        <w:t>日</w:t>
      </w:r>
    </w:p>
    <w:p w14:paraId="18DBA919">
      <w:pPr>
        <w:pStyle w:val="9"/>
        <w:keepNext w:val="0"/>
        <w:keepLines w:val="0"/>
        <w:pageBreakBefore w:val="0"/>
        <w:widowControl w:val="0"/>
        <w:shd w:val="clear"/>
        <w:kinsoku/>
        <w:wordWrap/>
        <w:overflowPunct/>
        <w:topLinePunct w:val="0"/>
        <w:autoSpaceDE/>
        <w:autoSpaceDN/>
        <w:bidi w:val="0"/>
        <w:adjustRightInd/>
        <w:snapToGrid/>
        <w:spacing w:line="560" w:lineRule="exact"/>
        <w:textAlignment w:val="auto"/>
        <w:outlineLvl w:val="9"/>
        <w:rPr>
          <w:rFonts w:hint="eastAsia" w:ascii="宋体" w:hAnsi="宋体" w:cs="宋体"/>
          <w:color w:val="000000"/>
          <w:sz w:val="28"/>
          <w:szCs w:val="28"/>
          <w:highlight w:val="none"/>
        </w:rPr>
      </w:pPr>
    </w:p>
    <w:p w14:paraId="15212D6B">
      <w:pPr>
        <w:pStyle w:val="9"/>
        <w:keepNext w:val="0"/>
        <w:keepLines w:val="0"/>
        <w:pageBreakBefore w:val="0"/>
        <w:widowControl w:val="0"/>
        <w:shd w:val="clear"/>
        <w:kinsoku/>
        <w:wordWrap/>
        <w:overflowPunct/>
        <w:topLinePunct w:val="0"/>
        <w:autoSpaceDE/>
        <w:autoSpaceDN/>
        <w:bidi w:val="0"/>
        <w:adjustRightInd/>
        <w:snapToGrid/>
        <w:spacing w:line="560" w:lineRule="exact"/>
        <w:textAlignment w:val="auto"/>
        <w:outlineLvl w:val="9"/>
        <w:rPr>
          <w:rFonts w:ascii="宋体" w:hAnsi="宋体" w:cs="宋体"/>
          <w:color w:val="000000"/>
          <w:sz w:val="28"/>
          <w:szCs w:val="28"/>
          <w:highlight w:val="none"/>
        </w:rPr>
      </w:pPr>
      <w:r>
        <w:rPr>
          <w:rFonts w:hint="eastAsia" w:ascii="宋体" w:hAnsi="宋体" w:cs="宋体"/>
          <w:color w:val="000000"/>
          <w:sz w:val="28"/>
          <w:szCs w:val="28"/>
          <w:highlight w:val="none"/>
        </w:rPr>
        <w:t>被授权人工作单位：</w:t>
      </w:r>
      <w:r>
        <w:rPr>
          <w:rFonts w:ascii="宋体" w:hAnsi="宋体" w:cs="宋体"/>
          <w:color w:val="000000"/>
          <w:sz w:val="28"/>
          <w:szCs w:val="28"/>
          <w:highlight w:val="none"/>
          <w:u w:val="single"/>
        </w:rPr>
        <w:t xml:space="preserve">          </w:t>
      </w:r>
      <w:r>
        <w:rPr>
          <w:rFonts w:hint="eastAsia" w:hAnsi="宋体" w:cs="宋体"/>
          <w:color w:val="000000"/>
          <w:sz w:val="28"/>
          <w:szCs w:val="28"/>
          <w:highlight w:val="none"/>
          <w:u w:val="single"/>
          <w:lang w:val="en-US" w:eastAsia="zh-CN"/>
        </w:rPr>
        <w:t xml:space="preserve"> </w:t>
      </w:r>
      <w:r>
        <w:rPr>
          <w:rFonts w:ascii="宋体" w:hAnsi="宋体" w:cs="宋体"/>
          <w:color w:val="000000"/>
          <w:sz w:val="28"/>
          <w:szCs w:val="28"/>
          <w:highlight w:val="none"/>
          <w:u w:val="single"/>
        </w:rPr>
        <w:t xml:space="preserve">       </w:t>
      </w:r>
      <w:r>
        <w:rPr>
          <w:rFonts w:hint="eastAsia" w:hAnsi="宋体" w:cs="宋体"/>
          <w:color w:val="000000"/>
          <w:sz w:val="28"/>
          <w:szCs w:val="28"/>
          <w:highlight w:val="none"/>
          <w:u w:val="single"/>
          <w:lang w:val="en-US" w:eastAsia="zh-CN"/>
        </w:rPr>
        <w:t xml:space="preserve">   </w:t>
      </w:r>
      <w:r>
        <w:rPr>
          <w:rFonts w:ascii="宋体" w:hAnsi="宋体" w:cs="宋体"/>
          <w:color w:val="000000"/>
          <w:sz w:val="28"/>
          <w:szCs w:val="28"/>
          <w:highlight w:val="none"/>
          <w:u w:val="single"/>
        </w:rPr>
        <w:t xml:space="preserve">   </w:t>
      </w:r>
    </w:p>
    <w:p w14:paraId="3EC73604">
      <w:pPr>
        <w:pStyle w:val="9"/>
        <w:keepNext w:val="0"/>
        <w:keepLines w:val="0"/>
        <w:pageBreakBefore w:val="0"/>
        <w:widowControl w:val="0"/>
        <w:shd w:val="clear"/>
        <w:kinsoku/>
        <w:wordWrap/>
        <w:overflowPunct/>
        <w:topLinePunct w:val="0"/>
        <w:autoSpaceDE/>
        <w:autoSpaceDN/>
        <w:bidi w:val="0"/>
        <w:adjustRightInd/>
        <w:snapToGrid/>
        <w:spacing w:line="560" w:lineRule="exact"/>
        <w:textAlignment w:val="auto"/>
        <w:outlineLvl w:val="9"/>
        <w:rPr>
          <w:rFonts w:ascii="宋体" w:hAnsi="宋体" w:cs="宋体"/>
          <w:color w:val="000000"/>
          <w:sz w:val="28"/>
          <w:szCs w:val="28"/>
          <w:highlight w:val="none"/>
          <w:u w:val="single"/>
        </w:rPr>
      </w:pPr>
      <w:r>
        <w:rPr>
          <w:rFonts w:hint="eastAsia" w:ascii="宋体" w:hAnsi="宋体" w:cs="宋体"/>
          <w:color w:val="000000"/>
          <w:sz w:val="28"/>
          <w:szCs w:val="28"/>
          <w:highlight w:val="none"/>
        </w:rPr>
        <w:t>职务：</w:t>
      </w:r>
      <w:r>
        <w:rPr>
          <w:rFonts w:ascii="宋体" w:hAnsi="宋体" w:cs="宋体"/>
          <w:color w:val="000000"/>
          <w:sz w:val="28"/>
          <w:szCs w:val="28"/>
          <w:highlight w:val="none"/>
          <w:u w:val="single"/>
        </w:rPr>
        <w:t xml:space="preserve">                 </w:t>
      </w:r>
      <w:r>
        <w:rPr>
          <w:rFonts w:ascii="宋体" w:hAnsi="宋体" w:cs="宋体"/>
          <w:color w:val="000000"/>
          <w:sz w:val="28"/>
          <w:szCs w:val="28"/>
          <w:highlight w:val="none"/>
        </w:rPr>
        <w:t xml:space="preserve">   性别：</w:t>
      </w:r>
      <w:r>
        <w:rPr>
          <w:rFonts w:ascii="宋体" w:hAnsi="宋体" w:cs="宋体"/>
          <w:color w:val="000000"/>
          <w:sz w:val="28"/>
          <w:szCs w:val="28"/>
          <w:highlight w:val="none"/>
          <w:u w:val="single"/>
        </w:rPr>
        <w:t xml:space="preserve">    </w:t>
      </w:r>
    </w:p>
    <w:p w14:paraId="5E434842">
      <w:pPr>
        <w:pStyle w:val="9"/>
        <w:keepNext w:val="0"/>
        <w:keepLines w:val="0"/>
        <w:pageBreakBefore w:val="0"/>
        <w:widowControl w:val="0"/>
        <w:shd w:val="clear"/>
        <w:kinsoku/>
        <w:wordWrap/>
        <w:overflowPunct/>
        <w:topLinePunct w:val="0"/>
        <w:autoSpaceDE/>
        <w:autoSpaceDN/>
        <w:bidi w:val="0"/>
        <w:adjustRightInd/>
        <w:snapToGrid/>
        <w:spacing w:line="560" w:lineRule="exact"/>
        <w:textAlignment w:val="auto"/>
        <w:outlineLvl w:val="9"/>
        <w:rPr>
          <w:rFonts w:ascii="宋体" w:hAnsi="宋体" w:cs="宋体"/>
          <w:color w:val="000000"/>
          <w:sz w:val="28"/>
          <w:szCs w:val="28"/>
          <w:highlight w:val="none"/>
          <w:u w:val="single"/>
        </w:rPr>
      </w:pPr>
      <w:r>
        <w:rPr>
          <w:rFonts w:hint="eastAsia" w:ascii="宋体" w:hAnsi="宋体" w:cs="宋体"/>
          <w:color w:val="000000"/>
          <w:sz w:val="28"/>
          <w:szCs w:val="28"/>
          <w:highlight w:val="none"/>
        </w:rPr>
        <w:t>身份证号码：</w:t>
      </w:r>
      <w:r>
        <w:rPr>
          <w:rFonts w:ascii="宋体" w:hAnsi="宋体" w:cs="宋体"/>
          <w:color w:val="000000"/>
          <w:sz w:val="28"/>
          <w:szCs w:val="28"/>
          <w:highlight w:val="none"/>
          <w:u w:val="single"/>
        </w:rPr>
        <w:t xml:space="preserve">                              </w:t>
      </w:r>
    </w:p>
    <w:p w14:paraId="4F4F7AAD">
      <w:pPr>
        <w:pStyle w:val="9"/>
        <w:keepNext w:val="0"/>
        <w:keepLines w:val="0"/>
        <w:pageBreakBefore w:val="0"/>
        <w:widowControl w:val="0"/>
        <w:shd w:val="clear"/>
        <w:kinsoku/>
        <w:wordWrap/>
        <w:overflowPunct/>
        <w:topLinePunct w:val="0"/>
        <w:autoSpaceDE/>
        <w:autoSpaceDN/>
        <w:bidi w:val="0"/>
        <w:adjustRightInd/>
        <w:snapToGrid/>
        <w:spacing w:line="560" w:lineRule="exact"/>
        <w:textAlignment w:val="auto"/>
        <w:outlineLvl w:val="9"/>
        <w:rPr>
          <w:rFonts w:hint="default" w:ascii="宋体" w:hAnsi="宋体" w:eastAsia="宋体" w:cs="宋体"/>
          <w:color w:val="000000"/>
          <w:sz w:val="28"/>
          <w:szCs w:val="28"/>
          <w:highlight w:val="none"/>
          <w:u w:val="single"/>
          <w:lang w:val="en-US" w:eastAsia="zh-CN"/>
        </w:rPr>
      </w:pPr>
      <w:r>
        <w:rPr>
          <w:rFonts w:hint="eastAsia" w:hAnsi="宋体" w:cs="宋体"/>
          <w:color w:val="000000"/>
          <w:sz w:val="28"/>
          <w:szCs w:val="28"/>
          <w:highlight w:val="none"/>
          <w:u w:val="none"/>
          <w:lang w:val="en-US" w:eastAsia="zh-CN"/>
        </w:rPr>
        <w:t>联系电话：</w:t>
      </w:r>
      <w:r>
        <w:rPr>
          <w:rFonts w:hint="eastAsia" w:hAnsi="宋体" w:cs="宋体"/>
          <w:color w:val="000000"/>
          <w:sz w:val="28"/>
          <w:szCs w:val="28"/>
          <w:highlight w:val="none"/>
          <w:u w:val="single"/>
          <w:lang w:val="en-US" w:eastAsia="zh-CN"/>
        </w:rPr>
        <w:t xml:space="preserve">                               </w:t>
      </w:r>
    </w:p>
    <w:p w14:paraId="2E4BF29E">
      <w:pPr>
        <w:pageBreakBefore w:val="0"/>
        <w:shd w:val="clear"/>
        <w:tabs>
          <w:tab w:val="left" w:pos="5907"/>
        </w:tabs>
        <w:kinsoku/>
        <w:overflowPunct/>
        <w:topLinePunct w:val="0"/>
        <w:autoSpaceDE/>
        <w:autoSpaceDN/>
        <w:bidi w:val="0"/>
        <w:adjustRightInd/>
        <w:spacing w:line="560" w:lineRule="exact"/>
        <w:jc w:val="left"/>
        <w:textAlignment w:val="auto"/>
        <w:rPr>
          <w:rFonts w:hint="default"/>
          <w:highlight w:val="none"/>
          <w:lang w:val="en-US" w:eastAsia="zh-CN"/>
        </w:rPr>
        <w:sectPr>
          <w:pgSz w:w="16838" w:h="11906" w:orient="landscape"/>
          <w:pgMar w:top="1800" w:right="1440" w:bottom="1800" w:left="1440" w:header="851" w:footer="992" w:gutter="0"/>
          <w:pgNumType w:fmt="decimal"/>
          <w:cols w:space="425" w:num="1"/>
          <w:docGrid w:type="lines" w:linePitch="312" w:charSpace="0"/>
        </w:sectPr>
      </w:pPr>
    </w:p>
    <w:p w14:paraId="2106A5A2">
      <w:pPr>
        <w:pageBreakBefore w:val="0"/>
        <w:shd w:val="clear"/>
        <w:kinsoku/>
        <w:wordWrap/>
        <w:overflowPunct/>
        <w:topLinePunct w:val="0"/>
        <w:autoSpaceDE/>
        <w:autoSpaceDN/>
        <w:bidi w:val="0"/>
        <w:adjustRightInd/>
        <w:snapToGrid/>
        <w:spacing w:line="560" w:lineRule="exact"/>
        <w:jc w:val="both"/>
        <w:textAlignment w:val="auto"/>
        <w:rPr>
          <w:rFonts w:hint="eastAsia" w:ascii="宋体" w:hAnsi="宋体"/>
          <w:sz w:val="32"/>
          <w:szCs w:val="32"/>
          <w:highlight w:val="none"/>
          <w:u w:val="none"/>
          <w:lang w:val="en-US" w:eastAsia="zh-CN"/>
        </w:rPr>
      </w:pPr>
      <w:r>
        <w:rPr>
          <w:rFonts w:hint="eastAsia" w:ascii="宋体" w:hAnsi="宋体"/>
          <w:sz w:val="32"/>
          <w:szCs w:val="32"/>
          <w:highlight w:val="none"/>
          <w:u w:val="none"/>
          <w:lang w:val="en-US" w:eastAsia="zh-CN"/>
        </w:rPr>
        <w:t>附件4</w:t>
      </w:r>
    </w:p>
    <w:p w14:paraId="68F94295">
      <w:pPr>
        <w:spacing w:line="560" w:lineRule="exact"/>
        <w:jc w:val="center"/>
        <w:rPr>
          <w:rFonts w:hint="eastAsia" w:ascii="方正公文小标宋" w:hAnsi="方正公文小标宋" w:eastAsia="方正公文小标宋" w:cs="方正公文小标宋"/>
          <w:color w:val="auto"/>
          <w:sz w:val="44"/>
          <w:szCs w:val="44"/>
          <w:highlight w:val="none"/>
        </w:rPr>
      </w:pPr>
      <w:r>
        <w:rPr>
          <w:rFonts w:hint="eastAsia" w:ascii="方正公文小标宋" w:hAnsi="方正公文小标宋" w:eastAsia="方正公文小标宋" w:cs="方正公文小标宋"/>
          <w:color w:val="auto"/>
          <w:sz w:val="44"/>
          <w:szCs w:val="44"/>
          <w:highlight w:val="none"/>
        </w:rPr>
        <w:t>采购需求</w:t>
      </w:r>
    </w:p>
    <w:p w14:paraId="3D7C3694">
      <w:pPr>
        <w:spacing w:line="560" w:lineRule="exact"/>
        <w:ind w:left="-10" w:leftChars="-5" w:right="2" w:rightChars="1" w:firstLine="422" w:firstLineChars="200"/>
        <w:rPr>
          <w:rFonts w:hint="eastAsia" w:ascii="宋体" w:hAnsi="宋体"/>
          <w:b/>
          <w:bCs/>
          <w:color w:val="auto"/>
          <w:highlight w:val="none"/>
        </w:rPr>
      </w:pPr>
    </w:p>
    <w:p w14:paraId="6146AD8C">
      <w:pPr>
        <w:numPr>
          <w:ilvl w:val="0"/>
          <w:numId w:val="4"/>
        </w:numPr>
        <w:spacing w:line="560" w:lineRule="exact"/>
        <w:ind w:left="-422" w:right="2" w:rightChars="1" w:firstLine="42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项目基本情况</w:t>
      </w:r>
    </w:p>
    <w:p w14:paraId="60944694">
      <w:pPr>
        <w:spacing w:line="560" w:lineRule="exact"/>
        <w:ind w:left="409" w:leftChars="195" w:right="2" w:rightChars="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项目名称：</w:t>
      </w:r>
      <w:r>
        <w:rPr>
          <w:rFonts w:hint="eastAsia" w:ascii="仿宋_GB2312" w:hAnsi="仿宋_GB2312" w:eastAsia="仿宋_GB2312" w:cs="仿宋_GB2312"/>
          <w:color w:val="auto"/>
          <w:sz w:val="32"/>
          <w:szCs w:val="32"/>
          <w:highlight w:val="none"/>
          <w:lang w:eastAsia="zh-CN"/>
        </w:rPr>
        <w:t>统一应用融合门户平台项目</w:t>
      </w:r>
    </w:p>
    <w:p w14:paraId="1D5CDAFC">
      <w:pPr>
        <w:spacing w:line="560" w:lineRule="exact"/>
        <w:ind w:left="409" w:leftChars="195" w:right="2" w:rightChars="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预算控制价：847040.00元</w:t>
      </w:r>
    </w:p>
    <w:p w14:paraId="0E49C533">
      <w:pPr>
        <w:spacing w:line="560" w:lineRule="exact"/>
        <w:ind w:left="409" w:leftChars="195" w:right="2" w:rightChars="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服务期：三年</w:t>
      </w:r>
    </w:p>
    <w:p w14:paraId="3F1EEC3A">
      <w:pPr>
        <w:spacing w:line="560" w:lineRule="exact"/>
        <w:ind w:right="2" w:rightChars="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二、其他说明：</w:t>
      </w:r>
    </w:p>
    <w:p w14:paraId="2059377A">
      <w:pPr>
        <w:spacing w:line="560" w:lineRule="exact"/>
        <w:ind w:left="409" w:leftChars="195" w:right="2" w:rightChars="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1.供应商所提供的产品（服务）实质上应相当于或优于本需求中的服务内容及技术质量要求。</w:t>
      </w:r>
    </w:p>
    <w:p w14:paraId="19B204F6">
      <w:pPr>
        <w:spacing w:line="560" w:lineRule="exact"/>
        <w:ind w:left="409" w:leftChars="195" w:right="2" w:rightChars="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2.本项目中标注“▲”号的要求为实质性要求和条件，所有材料必须加盖公章，对这些关键性要求的任何不满足将导致竞标无效。 </w:t>
      </w:r>
    </w:p>
    <w:p w14:paraId="5D750956">
      <w:pPr>
        <w:spacing w:line="560" w:lineRule="exact"/>
        <w:ind w:left="409" w:leftChars="195" w:right="2" w:rightChars="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3.本次采购服务所属行业：软件和信息技术服务业。</w:t>
      </w:r>
    </w:p>
    <w:p w14:paraId="6DF41C61">
      <w:pPr>
        <w:spacing w:line="560" w:lineRule="exact"/>
        <w:ind w:right="2" w:rightChars="1"/>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三、技术要求：</w:t>
      </w:r>
    </w:p>
    <w:tbl>
      <w:tblPr>
        <w:tblStyle w:val="14"/>
        <w:tblW w:w="9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639"/>
        <w:gridCol w:w="5706"/>
        <w:gridCol w:w="451"/>
        <w:gridCol w:w="652"/>
      </w:tblGrid>
      <w:tr w14:paraId="4355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04" w:type="dxa"/>
            <w:vAlign w:val="center"/>
          </w:tcPr>
          <w:p w14:paraId="48F1A3E8">
            <w:pPr>
              <w:spacing w:line="276" w:lineRule="auto"/>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项号</w:t>
            </w:r>
          </w:p>
        </w:tc>
        <w:tc>
          <w:tcPr>
            <w:tcW w:w="1639" w:type="dxa"/>
            <w:vAlign w:val="center"/>
          </w:tcPr>
          <w:p w14:paraId="7929E00E">
            <w:pPr>
              <w:spacing w:line="276" w:lineRule="auto"/>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服务名称</w:t>
            </w:r>
          </w:p>
        </w:tc>
        <w:tc>
          <w:tcPr>
            <w:tcW w:w="5706" w:type="dxa"/>
            <w:vAlign w:val="center"/>
          </w:tcPr>
          <w:p w14:paraId="5685850D">
            <w:pPr>
              <w:spacing w:line="276" w:lineRule="auto"/>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技术规格要求（服务内容及技术质量要求）</w:t>
            </w:r>
          </w:p>
        </w:tc>
        <w:tc>
          <w:tcPr>
            <w:tcW w:w="451" w:type="dxa"/>
            <w:vAlign w:val="center"/>
          </w:tcPr>
          <w:p w14:paraId="5B4E2940">
            <w:pPr>
              <w:spacing w:line="276" w:lineRule="auto"/>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单位</w:t>
            </w:r>
          </w:p>
        </w:tc>
        <w:tc>
          <w:tcPr>
            <w:tcW w:w="652" w:type="dxa"/>
            <w:vAlign w:val="center"/>
          </w:tcPr>
          <w:p w14:paraId="60915ACF">
            <w:pPr>
              <w:spacing w:line="276" w:lineRule="auto"/>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数量</w:t>
            </w:r>
          </w:p>
        </w:tc>
      </w:tr>
      <w:tr w14:paraId="15115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5FD2F0B">
            <w:pPr>
              <w:rPr>
                <w:color w:val="auto"/>
                <w:highlight w:val="none"/>
              </w:rPr>
            </w:pPr>
            <w:r>
              <w:rPr>
                <w:rFonts w:hint="eastAsia"/>
                <w:color w:val="auto"/>
                <w:highlight w:val="none"/>
              </w:rPr>
              <w:t>1</w:t>
            </w:r>
          </w:p>
        </w:tc>
        <w:tc>
          <w:tcPr>
            <w:tcW w:w="1639" w:type="dxa"/>
            <w:vAlign w:val="center"/>
          </w:tcPr>
          <w:p w14:paraId="1D029ED3">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整体需求</w:t>
            </w:r>
          </w:p>
        </w:tc>
        <w:tc>
          <w:tcPr>
            <w:tcW w:w="5706" w:type="dxa"/>
            <w:vAlign w:val="center"/>
          </w:tcPr>
          <w:p w14:paraId="0893D8BA">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1.整体指标要求</w:t>
            </w:r>
          </w:p>
          <w:p w14:paraId="2AEE0368">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1.1本次项目交付的系统服务可运行于Linux、Unix、Windows等高安全性操作系统。应采用J2EE标准及在数据交换上对XML的支持，使系统功能最优化，同时将整体系统内部的相互依赖性减至最低。</w:t>
            </w:r>
          </w:p>
          <w:p w14:paraId="08056A3A">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1.2本次项目建设的系统服务要求采用B/S结构，采用Java编程语言和服务器端Java能力，支持主流关系型数据库以及国产数据库。</w:t>
            </w:r>
          </w:p>
          <w:p w14:paraId="52C8E472">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1.3能完成跨业务部门的业务流程和相对应的细颗粒度的分级授权体系。</w:t>
            </w:r>
          </w:p>
          <w:p w14:paraId="7FF0DE26">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1.4必须支持负载均衡，支持动态监测负载状况，自动对可用资源进行并发检测，调整和分配等功能。</w:t>
            </w:r>
          </w:p>
          <w:p w14:paraId="568757DB">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1.5为保证系统运行的稳定性与安全性，本次项目建设的系统服务应自带中间件以满足项目需要，无需学校另行采购。</w:t>
            </w:r>
          </w:p>
          <w:p w14:paraId="214256BC">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▲1.6为支持信创要求，本次产品需支持国产操作系统和国产数据库，需提供承诺或相关证书并加盖公章。</w:t>
            </w:r>
          </w:p>
          <w:p w14:paraId="09062C8A">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▲1.7为满足学校师生高并发使用需求，统一应用融合门户平台支持</w:t>
            </w:r>
            <w:r>
              <w:rPr>
                <w:rFonts w:hint="eastAsia" w:ascii="仿宋_GB2312" w:hAnsi="仿宋_GB2312" w:eastAsia="仿宋_GB2312" w:cs="仿宋_GB2312"/>
                <w:color w:val="auto"/>
                <w:sz w:val="24"/>
                <w:szCs w:val="24"/>
                <w:highlight w:val="none"/>
                <w:lang w:val="en-US" w:eastAsia="zh-CN"/>
              </w:rPr>
              <w:t>10</w:t>
            </w:r>
            <w:r>
              <w:rPr>
                <w:rFonts w:hint="eastAsia" w:ascii="仿宋_GB2312" w:hAnsi="仿宋_GB2312" w:eastAsia="仿宋_GB2312" w:cs="仿宋_GB2312"/>
                <w:color w:val="auto"/>
                <w:sz w:val="24"/>
                <w:szCs w:val="24"/>
                <w:highlight w:val="none"/>
              </w:rPr>
              <w:t>000</w:t>
            </w:r>
            <w:r>
              <w:rPr>
                <w:rFonts w:hint="eastAsia" w:ascii="仿宋_GB2312" w:hAnsi="仿宋_GB2312" w:eastAsia="仿宋_GB2312" w:cs="仿宋_GB2312"/>
                <w:color w:val="auto"/>
                <w:sz w:val="24"/>
                <w:szCs w:val="24"/>
                <w:highlight w:val="none"/>
                <w:lang w:val="en-US" w:eastAsia="zh-CN"/>
              </w:rPr>
              <w:t>以上</w:t>
            </w:r>
            <w:r>
              <w:rPr>
                <w:rFonts w:hint="eastAsia" w:ascii="仿宋_GB2312" w:hAnsi="仿宋_GB2312" w:eastAsia="仿宋_GB2312" w:cs="仿宋_GB2312"/>
                <w:color w:val="auto"/>
                <w:sz w:val="24"/>
                <w:szCs w:val="24"/>
                <w:highlight w:val="none"/>
              </w:rPr>
              <w:t>用户并发操作时，平均响应时间0.01秒,事务成功率达100%。须提供承诺或相关证书并加盖公章。</w:t>
            </w:r>
          </w:p>
          <w:p w14:paraId="4CE74D20">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▲1.8产品符合国家等保二级要求，须提供承诺或相关证书并加盖公章。</w:t>
            </w:r>
          </w:p>
          <w:p w14:paraId="608697CB">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2、安全要求如下：</w:t>
            </w:r>
          </w:p>
          <w:p w14:paraId="3A6B5E36">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2.1敏感信息处理：在用户端显示敏感信息时，采取脱敏等手段防止未授权人员获取敏感信息，各类数据处理场景中数据脱敏不存在伪脱敏和弱脱敏等脱敏失效等情况。</w:t>
            </w:r>
          </w:p>
          <w:p w14:paraId="355AFB8E">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2.2入侵防范：提供数据有效性检验功能，保证通过人机接口输入或通过通信接口输入的内容符合系统设定要求，可通过限制网络地址范围等方式对行管理的终端进行限制；</w:t>
            </w:r>
          </w:p>
        </w:tc>
        <w:tc>
          <w:tcPr>
            <w:tcW w:w="451" w:type="dxa"/>
            <w:vAlign w:val="center"/>
          </w:tcPr>
          <w:p w14:paraId="7E714568">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w:t>
            </w:r>
          </w:p>
        </w:tc>
        <w:tc>
          <w:tcPr>
            <w:tcW w:w="652" w:type="dxa"/>
            <w:vAlign w:val="center"/>
          </w:tcPr>
          <w:p w14:paraId="5A80AA47">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r>
      <w:tr w14:paraId="23C7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640C7CB">
            <w:pPr>
              <w:rPr>
                <w:color w:val="auto"/>
                <w:highlight w:val="none"/>
              </w:rPr>
            </w:pPr>
            <w:r>
              <w:rPr>
                <w:rFonts w:hint="eastAsia"/>
                <w:color w:val="auto"/>
                <w:highlight w:val="none"/>
              </w:rPr>
              <w:t>2</w:t>
            </w:r>
          </w:p>
        </w:tc>
        <w:tc>
          <w:tcPr>
            <w:tcW w:w="1639" w:type="dxa"/>
            <w:vAlign w:val="center"/>
          </w:tcPr>
          <w:p w14:paraId="0E3D9156">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统一应用融合门户平台PC版</w:t>
            </w:r>
          </w:p>
        </w:tc>
        <w:tc>
          <w:tcPr>
            <w:tcW w:w="5706" w:type="dxa"/>
            <w:vAlign w:val="center"/>
          </w:tcPr>
          <w:p w14:paraId="6AFD5ADE">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个性化界面：支持个性化界面，内置资讯卡片、业务直通车、任务中心、日程中心、个人提醒数据、推荐服务等常用内容卡片；</w:t>
            </w:r>
          </w:p>
          <w:p w14:paraId="1493F38F">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主题门户设置：平台支持针对业务管理部门、二级学院等有特定需求的部门设定可独立访问的主题门户体系，如：学工门户等，支持通过输入不同的URL地址访问，并基于统一管理后台进行管理，包括使用的模板、页面布局、卡片排布等，平台同时也应支持对不同的主题门户设置独立管理人员，方便对对应主题门户的用户、应用、页面布局以及用户访问权限等内容进行管理。</w:t>
            </w:r>
          </w:p>
          <w:p w14:paraId="0AF360A3">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个性化门户：学校可以基于用户角色、业务场景，灵活配置学工门户、教务门户等各类门户场景，打造全校用户的个性化门户，满足多角色多岗位办公需求。</w:t>
            </w:r>
          </w:p>
          <w:p w14:paraId="35CEFCB8">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标准模板：需为学校提供不少于5套模板，方便学校基于不同的阶段进行更换，一套模板由不同的模板文件组成，可在模板管理内的模版详情查看每个模板所包含的模板文件；不同的模板会根据样式功能点会有部分不同，每个模板产品会自带标准的展示方案内容，包括基本信息及卡片配置。</w:t>
            </w:r>
          </w:p>
          <w:p w14:paraId="60C1FED3">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各套模板间不得仅仅只是简单的颜色变更，应体现出明显的风格差异。需支持自定义模板的设计上传管理功能。</w:t>
            </w:r>
          </w:p>
          <w:p w14:paraId="0D59D8A5">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标准卡片</w:t>
            </w:r>
          </w:p>
          <w:p w14:paraId="4AD8EC4F">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全部服务：展示包含筛选条件的全部服务列表</w:t>
            </w:r>
          </w:p>
          <w:p w14:paraId="7EEE7FA4">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5.2</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最近使用服务：展示当前用户最近使用的服务列表</w:t>
            </w:r>
          </w:p>
          <w:p w14:paraId="1EA3BAD4">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5.3</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我收藏的服务：展示当前用户收藏的服务列表</w:t>
            </w:r>
          </w:p>
          <w:p w14:paraId="0A43216C">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5.4</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推荐服务：展示管理员设置为推荐的服务列表</w:t>
            </w:r>
          </w:p>
          <w:p w14:paraId="4C65EDDF">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5.5</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最新服务：展示最新上线的服务，按照上线实现倒序排序</w:t>
            </w:r>
          </w:p>
          <w:p w14:paraId="7D636258">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5.6</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热门服务：展示当前用户能够使用且访问量最多的服务列表</w:t>
            </w:r>
          </w:p>
          <w:p w14:paraId="68C0BE1B">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5.7</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业务直通车：支持展示管理员配置的某个分类下的服务列表</w:t>
            </w:r>
          </w:p>
          <w:p w14:paraId="454A00A1">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5.8</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待办：按业务场景分类展示当前用户待办事项</w:t>
            </w:r>
          </w:p>
          <w:p w14:paraId="4306ECC4">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5.9</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我的申请：展示当前用户发起的流程列表</w:t>
            </w:r>
          </w:p>
          <w:p w14:paraId="7BB5F198">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5.10待办任务：展示当前用户的待办任务列表</w:t>
            </w:r>
          </w:p>
          <w:p w14:paraId="0E023E9F">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5.11已办任务：展示用户已办的任务列表内容</w:t>
            </w:r>
          </w:p>
          <w:p w14:paraId="07290A8B">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5.12我的办理进度：展示当前用户申请事项的审核进度</w:t>
            </w:r>
          </w:p>
          <w:p w14:paraId="4C86337D">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5.13我的申请列表：展示用户申请的任务列表内容</w:t>
            </w:r>
          </w:p>
          <w:p w14:paraId="537216B4">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5.14已办任务列表：展示用户已办的任务列表内容</w:t>
            </w:r>
          </w:p>
          <w:p w14:paraId="5ADDDE7E">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5.15我的办件：展示不同人员当前办件情况</w:t>
            </w:r>
          </w:p>
          <w:p w14:paraId="0CAD5F38">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5.16办理统计：展示不同人员当前办理数据</w:t>
            </w:r>
          </w:p>
          <w:p w14:paraId="722A99D8">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5.17新闻通知公告：展示管理员配置的新闻类别及新闻列表</w:t>
            </w:r>
          </w:p>
          <w:p w14:paraId="675CDDA4">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5.18新闻列表：展示新闻内容</w:t>
            </w:r>
          </w:p>
          <w:p w14:paraId="70AFC540">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5.19新闻详情：展示点击新闻后详情内容</w:t>
            </w:r>
          </w:p>
          <w:p w14:paraId="222F1EF0">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5.20我收藏的新闻：展示当前用户收藏的新闻</w:t>
            </w:r>
          </w:p>
          <w:p w14:paraId="04C2AC3E">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5.21链接导航：支持展示链接导航内容，包含的字段为链接图标、链接名称</w:t>
            </w:r>
          </w:p>
          <w:p w14:paraId="3B566BD7">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5.22我的日程：将学生的课表、学校的会议、学生的活动等具有时间属性的已经在某个系统中管理好的信息，聚合展示到日历上，方便使用者查看</w:t>
            </w:r>
          </w:p>
          <w:p w14:paraId="7D73DC1C">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5.23日程详情：展示日程列表及日程详情内容</w:t>
            </w:r>
          </w:p>
          <w:p w14:paraId="60D02989">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5.24校历：展示学校的校历情况</w:t>
            </w:r>
          </w:p>
          <w:p w14:paraId="2CD66747">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5.25个人数据：展示用户个人相关的生活、学习数据</w:t>
            </w:r>
          </w:p>
          <w:p w14:paraId="3844E7F5">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5.26意见反馈：展示用户反馈意见和查询回复结果</w:t>
            </w:r>
          </w:p>
          <w:p w14:paraId="5FF4A81C">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服务智能推荐：支持通过学校用户所在的组织机构、用户组、身份分类，将所关联人员的相关应用作为推荐组；将该人员推荐组下的应用按照不同维度进行分值计算，将分值最高的几个服务推荐给用户。投标方需在投标文件中提供真实系统截图。</w:t>
            </w:r>
          </w:p>
          <w:p w14:paraId="468381B0">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后续建设智能聊天工具时，可提供PC网页、移动H5入口（可嵌入今日校园、企业微信、钉钉），提供与学校DeepSeek R1大模型或QWQ等其他大模型接入服务，并可与统一身份认证集成，提供承诺函并加盖公章。</w:t>
            </w:r>
          </w:p>
        </w:tc>
        <w:tc>
          <w:tcPr>
            <w:tcW w:w="451" w:type="dxa"/>
            <w:vAlign w:val="center"/>
          </w:tcPr>
          <w:p w14:paraId="3E13150E">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w:t>
            </w:r>
          </w:p>
        </w:tc>
        <w:tc>
          <w:tcPr>
            <w:tcW w:w="652" w:type="dxa"/>
            <w:vAlign w:val="center"/>
          </w:tcPr>
          <w:p w14:paraId="7D1B84F0">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r>
      <w:tr w14:paraId="79884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481F0F9">
            <w:pPr>
              <w:rPr>
                <w:color w:val="auto"/>
                <w:highlight w:val="none"/>
              </w:rPr>
            </w:pPr>
            <w:r>
              <w:rPr>
                <w:rFonts w:hint="eastAsia"/>
                <w:color w:val="auto"/>
                <w:highlight w:val="none"/>
              </w:rPr>
              <w:t>3</w:t>
            </w:r>
          </w:p>
        </w:tc>
        <w:tc>
          <w:tcPr>
            <w:tcW w:w="1639" w:type="dxa"/>
            <w:vAlign w:val="center"/>
          </w:tcPr>
          <w:p w14:paraId="48065E6B">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门户与内容管理</w:t>
            </w:r>
          </w:p>
        </w:tc>
        <w:tc>
          <w:tcPr>
            <w:tcW w:w="5706" w:type="dxa"/>
            <w:vAlign w:val="center"/>
          </w:tcPr>
          <w:p w14:paraId="3761002B">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展示方案管理</w:t>
            </w:r>
          </w:p>
          <w:p w14:paraId="1F504E89">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新建站点：展示方案支持启用多个站点，每一站点下包含多个PC端、移动H5端展示方案。一个站点下只能启用一个PC端展示方案、一个移动H5端展示方案。</w:t>
            </w:r>
          </w:p>
          <w:p w14:paraId="66E19A3C">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新建站点，需配置站点名称、站点路由、站点管理员以及对应的授权类型。创建成功后，站点为停用，且没有PC及H5方案。站点支持排序。</w:t>
            </w:r>
          </w:p>
          <w:p w14:paraId="77E6E009">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PC展示方案创建：支持基于系统模版创建PC展示方案，可查看系统模版展示样式。</w:t>
            </w:r>
          </w:p>
          <w:p w14:paraId="6F2DBD37">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PC展示方案页面管理：对已创建的PC展示方案进行页面管理，包括展示方案下的页面列表、单页面的容器层级、容器中插入的卡片。</w:t>
            </w:r>
          </w:p>
          <w:p w14:paraId="48C0E23D">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PC展示方案全局设置：对展示方案进行全局设置，包括基本信息、菜单信息、左右侧边栏配置、本地化样式以及公告配置。</w:t>
            </w:r>
          </w:p>
          <w:p w14:paraId="2AB4105C">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H5展示方案创建：支持基于系统模版创建移动H5展示方案，可查看系统模版展示样式。</w:t>
            </w:r>
          </w:p>
          <w:p w14:paraId="58E456DD">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H5展示方案页面管理：对已创建的移动H5展示方案进行页面管理。</w:t>
            </w:r>
          </w:p>
          <w:p w14:paraId="4AE53407">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H5展示方案全局设置：对已创建的展示方案可进行全局设置，支持配置logo、主题色、中性色以及消息中心地址。</w:t>
            </w:r>
          </w:p>
          <w:p w14:paraId="5609BEEB">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支持页面顶部菜单创建及排序，配置菜单名称、对应页面及页面打开方式、菜单授权类型、菜单图标以及数量提醒地址。</w:t>
            </w:r>
          </w:p>
          <w:p w14:paraId="4EEE170F">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黑白模式：支持黑白模式，开启后PC展示方案、移动H5展示方案整体页面置灰，用于重大悼念日。</w:t>
            </w:r>
          </w:p>
          <w:p w14:paraId="1EF7848D">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无障碍模式：支持PC无障碍模式配置，开启后前台门户将支持开启“无障碍模式”，针对所有产品模版。支持配置“无障碍模式”支持内容，包含：读屏专用、声音开关、语速、阅读方式、配色、放大、缩小、鼠标样式、十字线、大字幕。投标方需在投标文件中提供真实系统截图。</w:t>
            </w:r>
          </w:p>
          <w:p w14:paraId="18A4D07E">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1.10服务指南展示逻辑：展示逻辑为：展示、不展示</w:t>
            </w:r>
          </w:p>
          <w:p w14:paraId="05DF3F41">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选择“展示”，支持用户在前台点击服务后，按照服务名称、服务图标、服务指南进行展示描述内容；</w:t>
            </w:r>
          </w:p>
          <w:p w14:paraId="608A4D0B">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1.11用户收藏逻辑：用于配置服务与事项的收藏逻辑。</w:t>
            </w:r>
          </w:p>
          <w:p w14:paraId="34BA942F">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1.12多站点方案：支持多站点方案，可选择匹配站点地址（打开对应URL的站点）、随机展示站点（访客状态下若有多个权限站点，则随机切换站点；当访客登录，同时选择某一个站点后，下次进入还是会自动跳转该站点）</w:t>
            </w:r>
          </w:p>
          <w:p w14:paraId="74D3AC35">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1.13逃生页：用于门户展示的服务/链接报错时，友好引导跳走报错页面，</w:t>
            </w:r>
          </w:p>
          <w:p w14:paraId="778264FC">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1.14浏览器兼容提示：支持浏览器兼容提示，用于配置当不属于展示方案（模版+卡片）所兼容的浏览器时给出提示</w:t>
            </w:r>
          </w:p>
          <w:p w14:paraId="606921F0">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服务分类设置：支持按服务分类划分，支持创建3级分类，可在二级/三级分类中添加服务（一级分类不可添加服务）。支持可通过搜索服务名称、筛选服务归属的应用，快捷找出需要设置分类的服务。</w:t>
            </w:r>
          </w:p>
          <w:p w14:paraId="3C47E0E9">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个人数据聚合：需支持个人数据聚合管理，用于提供门户个人数据卡片的数据来源。列表展示数据标题、主要信息、次要信息、数据来源方式、启停状态、缓存时长。支持创建个人数据，支持对个人数据对编辑、搜索、排序、授权以及删除。</w:t>
            </w:r>
          </w:p>
          <w:p w14:paraId="2C8C13A0">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新建个人数据时候，需支持配置是否为个人信息。若选择“是”，原有标题、主要信息、次要信息、图标字段去除，且数据来源方式只支持JSON接口、外部数据库方式；如果选否，则按照之前的逻辑。</w:t>
            </w:r>
          </w:p>
          <w:p w14:paraId="14D9B7D2">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资讯聚合：需支持资讯聚合的配置功能，需支持手动添加频道并配置频道数据源，数据源抓取方式支持：外部数据库、页面抓取、RSS。</w:t>
            </w:r>
          </w:p>
          <w:p w14:paraId="7F6DACD5">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待办中心管理：需提供待办任务，支持查看所有待办和已办数据，列表展示待办标题、所属应用、业务场景、任务状态、发起人、待处理人、接收时间以及过期时间。需支持搜索待办任务。</w:t>
            </w:r>
          </w:p>
          <w:p w14:paraId="2D8C5467">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需支持待办推送到企业微信、微信服务号、钉钉和WeLink,通过配置企业微信、微信服务号、钉钉和WeLink实现待办的推送，并支持测试功能。</w:t>
            </w:r>
          </w:p>
          <w:p w14:paraId="7B8EB1FB">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日程聚合</w:t>
            </w:r>
          </w:p>
          <w:p w14:paraId="2C4EDDB9">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6.1</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公共日历管理：聚合展示学校课表信息、会议信息、活动信息等公共日历的事件信息以及个人信息的日程事件信息。</w:t>
            </w:r>
          </w:p>
          <w:p w14:paraId="689CDFA4">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6.2</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个人日历管理：对个人用户或用户组进行设置排他组和白名单，以便个人日程的控制其分享授权的范围。</w:t>
            </w:r>
          </w:p>
          <w:p w14:paraId="653C83D2">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6.3</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群组日历管理：支持创建群组日历，群组日历包括群组名称、创建人员范围、接收人员范围。</w:t>
            </w:r>
          </w:p>
          <w:p w14:paraId="5D9A090C">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支持对创建组进行启停操作、编辑群组名称、删除群组。</w:t>
            </w:r>
          </w:p>
          <w:p w14:paraId="7959F190">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6.4</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公共配置：日程支持用户选择日程提醒通道中的其他通道</w:t>
            </w:r>
          </w:p>
          <w:p w14:paraId="0A952A36">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公共配置中包含两个部分：日程消息配置、日程分享配置。</w:t>
            </w:r>
          </w:p>
          <w:p w14:paraId="178107B3">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意见反馈：用于维护管理意见反馈数据，列表展示意见标题、意见内容、反馈时间、反馈人、意见是否回复。支持搜索和查看意见反馈详情。支持回复反馈内容，只允许流转一次，可对单条反馈内容进行多次回复。</w:t>
            </w:r>
          </w:p>
          <w:p w14:paraId="4C112CB4">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搜索管理：提供管理门户搜索内容及辅助搜索能力的配置功能，需提供预置的采集内容分组，同时也提供自建渠道。需支持按照分组呈现搜索关联信息，并应支持对分组内容进行启停以及手工同步。</w:t>
            </w:r>
          </w:p>
          <w:p w14:paraId="49ECC497">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需支持通过对各分组项下的内容维护后，设置检索项，从而让参数可以作为检索项被前台用户搜索。</w:t>
            </w:r>
          </w:p>
          <w:p w14:paraId="1B3EAE79">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需支持同义词维护功能，搜索过程中基于同义词进行判断相关搜索结果，系统应自带同义词词库，同时也应支持用户手工维护本校特有同义词关联内容。</w:t>
            </w:r>
          </w:p>
          <w:p w14:paraId="4EB814B9">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应用服务评价：管理应用服务评价，包括服务评价人次、平均评分；可针对评价详情，进行隐藏操作。</w:t>
            </w:r>
          </w:p>
          <w:p w14:paraId="06FFE2F7">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移动端适配：提供将系统内的通讯录数据自动同步到企业微信/钉钉的功能，同步内容包括组织机构及人员信息。</w:t>
            </w:r>
          </w:p>
          <w:p w14:paraId="21B2C478">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日志与审计：提供从后台到接口的日志管理和相关审计功能。</w:t>
            </w:r>
          </w:p>
          <w:p w14:paraId="622805E9">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使用分析</w:t>
            </w:r>
          </w:p>
          <w:p w14:paraId="34779F13">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12.1门户访问分析：需提供针对门户访问情况的总体分析，包括今日访问量、今日访客数、近30天评估访问次数以及至今用户覆盖率，应支持按照客户端类型、身份类型以及站点进行筛选，展示内容至少应包含门户访问趋势、门户访问来源、用户类型访问分析、浏览器分析、操作系统分析以及分辨率分析。投标方需在投标文件中提供真实系统截图。</w:t>
            </w:r>
          </w:p>
          <w:p w14:paraId="6C1E772A">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12.2内容使用分析：需提供针对门户内容访问情况的总体分析，包括今日服务访问量、至今接入服务数，应支持按照客户端类型、身份类型以及站点进行筛选，展示内容至少应包含服务访问排行TOP10，需支持点击直接跳转到详情页面。投标方需在投标文件中提供真实系统截图。</w:t>
            </w:r>
          </w:p>
          <w:p w14:paraId="67CE693C">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12.3用户行为分析：需提供针对用户行为情况的总体分析，应支持按照客户端类型、身份类型以及站点进行筛选，也可以按照时间进行近7日、近30日以及自定义时间的筛选，展示内容至少应包含页面卡片点击分析、用户搜索分析以及链接导航收藏TOP10，其中用户搜索分析需支持以词云形式展示。投标方需在投标文件中提供真实系统截图。</w:t>
            </w:r>
          </w:p>
        </w:tc>
        <w:tc>
          <w:tcPr>
            <w:tcW w:w="451" w:type="dxa"/>
            <w:vAlign w:val="center"/>
          </w:tcPr>
          <w:p w14:paraId="74A8210C">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w:t>
            </w:r>
          </w:p>
        </w:tc>
        <w:tc>
          <w:tcPr>
            <w:tcW w:w="652" w:type="dxa"/>
            <w:vAlign w:val="center"/>
          </w:tcPr>
          <w:p w14:paraId="7108CC08">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r>
      <w:tr w14:paraId="2D34D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C0DC566">
            <w:pPr>
              <w:rPr>
                <w:color w:val="auto"/>
                <w:highlight w:val="none"/>
              </w:rPr>
            </w:pPr>
            <w:r>
              <w:rPr>
                <w:rFonts w:hint="eastAsia"/>
                <w:color w:val="auto"/>
                <w:highlight w:val="none"/>
              </w:rPr>
              <w:t>4</w:t>
            </w:r>
          </w:p>
        </w:tc>
        <w:tc>
          <w:tcPr>
            <w:tcW w:w="1639" w:type="dxa"/>
            <w:vAlign w:val="center"/>
          </w:tcPr>
          <w:p w14:paraId="375AE20D">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应用门户移动版（H5)</w:t>
            </w:r>
          </w:p>
        </w:tc>
        <w:tc>
          <w:tcPr>
            <w:tcW w:w="5706" w:type="dxa"/>
            <w:vAlign w:val="center"/>
          </w:tcPr>
          <w:p w14:paraId="349EDA46">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统一应用融合门户平台移动版（H5）页面需支持同步接入钉钉、企业微信等介质，支持与统一应用融合门户平台PC端保持一致的访问地址，并支持多端同步调整的设计逻辑，当后台对展示方案修改后，所有移动页面同步变更。投标方需在投标文件中提供真实系统截图。</w:t>
            </w:r>
          </w:p>
        </w:tc>
        <w:tc>
          <w:tcPr>
            <w:tcW w:w="451" w:type="dxa"/>
            <w:vAlign w:val="center"/>
          </w:tcPr>
          <w:p w14:paraId="4D288931">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w:t>
            </w:r>
          </w:p>
        </w:tc>
        <w:tc>
          <w:tcPr>
            <w:tcW w:w="652" w:type="dxa"/>
            <w:vAlign w:val="center"/>
          </w:tcPr>
          <w:p w14:paraId="27240DDF">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r>
      <w:tr w14:paraId="691F8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FC881BE">
            <w:pPr>
              <w:rPr>
                <w:color w:val="auto"/>
                <w:highlight w:val="none"/>
              </w:rPr>
            </w:pPr>
            <w:r>
              <w:rPr>
                <w:rFonts w:hint="eastAsia"/>
                <w:color w:val="auto"/>
                <w:highlight w:val="none"/>
              </w:rPr>
              <w:t>5</w:t>
            </w:r>
          </w:p>
        </w:tc>
        <w:tc>
          <w:tcPr>
            <w:tcW w:w="1639" w:type="dxa"/>
            <w:vAlign w:val="center"/>
          </w:tcPr>
          <w:p w14:paraId="2A264BAA">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应用管理中心</w:t>
            </w:r>
          </w:p>
        </w:tc>
        <w:tc>
          <w:tcPr>
            <w:tcW w:w="5706" w:type="dxa"/>
            <w:vAlign w:val="center"/>
          </w:tcPr>
          <w:p w14:paraId="1A3172FB">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首页：平台应支持通过首页预览服务总体运行情况，至少需包括：待处理事项，校内组织机构，用户情况，应用情况，接口情况，服务器状态，操作日志，产品更新记录。</w:t>
            </w:r>
          </w:p>
          <w:p w14:paraId="7614BFD4">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用户管理</w:t>
            </w:r>
          </w:p>
          <w:p w14:paraId="15100E25">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账号管理：用户管理包括帐号的新增、发放、维护、注销管理，旨在帮助管理员完成全校身份帐号数据的增加、删除、修改、过期设置、变更生命周期以及锁定/解锁等操作。</w:t>
            </w:r>
          </w:p>
          <w:p w14:paraId="23FB6B19">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用户账号授权：基于角色的访问控制，实现对用户集中、灵活授权和访问控制管理，从而提高系统管理效率，如可根据不同角色分配相应应用使用权限和有效期，并进行差异化的应用推荐和功能设置。</w:t>
            </w:r>
          </w:p>
          <w:p w14:paraId="7F4866C2">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个人信息查看：需支持查看和编辑用户的学工号/用户名、姓名、录取通知书号、性别、身份分类、身份状态、手机号、邮箱号、证件类型、证件号码、组织机构、岗位、专业、班级、入校年份/当前所在级、离校时间、出生日期以及组织机构。</w:t>
            </w:r>
          </w:p>
          <w:p w14:paraId="179B2806">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2.4</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账号自动合并：需支持基于自然人维度的账号自动关联合并功能，支持按照不同的逻辑将同一自然人在学校不同阶段的账号合并，并可设定主账号，</w:t>
            </w:r>
          </w:p>
          <w:p w14:paraId="365B3849">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2.5</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用户信息管理：需支持管理人员对用户详细信息进行查阅与修改，包含：查看用户信息、编辑用户信息、查看用户组信息、关联用户组、移除用户组、查看关联账号、查看授权信息。</w:t>
            </w:r>
          </w:p>
          <w:p w14:paraId="648B14A5">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2.6</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组织机构管理：需支持管理人员手工增加组织机构节点，并可以对手工节点进行编辑手工节点、删除节点、禁用全部用户、添加已有用户以及移除机构操作。</w:t>
            </w:r>
          </w:p>
          <w:p w14:paraId="46A3ECC3">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应用管理：负责为校内应用提供信息维护、发布注册、授权使用、统一协议配置、消息待办预集成、应用内接口授权、应用下服务配置、应用访问日志等功能，统一发布管理，并打通PC门户、移动H5门户。</w:t>
            </w:r>
          </w:p>
          <w:p w14:paraId="19BEC11F">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应用接入：需支持手工创建和快捷创建2种方式完成应用的接入，基本信息主要包括应用名称、业务域、访问地址、应用描述、应用图标。应用接入到系统后，可以进一步配置该应用所对接的认证协议参数，并进行应用授权。</w:t>
            </w:r>
          </w:p>
          <w:p w14:paraId="4603724A">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需支持当用户授权为多个用户组时，可配置打开服务时是否需选择对应用户组。</w:t>
            </w:r>
          </w:p>
          <w:p w14:paraId="0D446B49">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应用详情</w:t>
            </w:r>
          </w:p>
          <w:p w14:paraId="14D4804D">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授权：针对每个应用，系统提供多种授权维度和授权颗粒度，管理员可根据组织机构、域及用户组、用户三种方式，给各维度的各级节点或单独的人员进行授权。</w:t>
            </w:r>
          </w:p>
          <w:p w14:paraId="374AC6F7">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5.2</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认证：针对每个应用，系统提供多维度的认证信息配置，支持CAS协议、OAuth协议、SAML协议、WMA协议、LDAP协议、OIDC协议、RESTFUL协议。</w:t>
            </w:r>
          </w:p>
          <w:p w14:paraId="4ABFC606">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5.3</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服务：可在应用中添加多个服务，已添加成功的服务，展示服务图标、服务名称、服务平台类型（PC则为电脑icon、移动则为手机icon）、登录前可见性、登录后可见性、服务类型。</w:t>
            </w:r>
          </w:p>
          <w:p w14:paraId="3A1CBB48">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5.4</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消息：支持配置应用的消息优先级及消息通道。</w:t>
            </w:r>
          </w:p>
          <w:p w14:paraId="7B499098">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5.5</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待办：支持开启应用接入待办功能，展示该应用下的业务场景数据查看。当待办中心接入状态开启的时候，会自动申请待办下所有的对外开放接口。</w:t>
            </w:r>
          </w:p>
          <w:p w14:paraId="503D1672">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5.6</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接口授权：支持查看该应用下已授权接口列表，接口的IP白名单限制。列表展示接口名称、接口来源、接口分类、发布地址、提供方状态以及启用状态。</w:t>
            </w:r>
          </w:p>
          <w:p w14:paraId="5292FDBD">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5.7</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回调：回调，平台调用第三方系统接口达到数据通知的功能。支持HTTPS协议，同时检验证书的有效性；支持国密和非国密的算法，国密的签名使用SM3哈希，SM4 数据加密；支持回调接口的重试机制。</w:t>
            </w:r>
          </w:p>
          <w:p w14:paraId="6C1D0BD5">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5.8</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应用访问日志：用户访问应用的日志查询，包括学工号/用户名、姓名、IP、访问时间和认证结果。</w:t>
            </w:r>
          </w:p>
          <w:p w14:paraId="315BD1DB">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管理工具：系统需支持在各业务域下设置不同的用户组及成员，用以作为授权或二级管理权限下发。需支持管理员在用户组中查询已经加入该用户组的组织架构节点或具体的人员，并进行修改。</w:t>
            </w:r>
          </w:p>
          <w:p w14:paraId="2A8E928E">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需支持管理人员通过可视化界面自行通过身份分类、生命周期、性别、性别、入校年份、组织机构分组组合形成用户组。</w:t>
            </w:r>
          </w:p>
          <w:p w14:paraId="3A991CD1">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需支持用户组共享功能，当前域管理员可以共享自己设置的用户组给其他域管理员使用。</w:t>
            </w:r>
          </w:p>
          <w:p w14:paraId="1EF33F7E">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身份分类管理：系统需提供多种身份数据类型，包含教师、学生、校外人员、校友，应支持对于不同子分类进行生命周期设置，从而实现对用户进行全生命周期管理。</w:t>
            </w:r>
          </w:p>
          <w:p w14:paraId="74D775C6">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系统允许针对不同的用户来源创建至少三种生命周期，包括未入校、在校、离校三个状态。系统应能自动创建对应生命周期的用户组。同时应能对生命周期设置有效期，在有效期到期后，自动转换生命周期状态。</w:t>
            </w:r>
          </w:p>
          <w:p w14:paraId="08CE2531">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校内机构数据管理：需提供具有高校特色的组织机构管理，支持针对不同用户类型生成不同的组织机构树。组织机构树由用户信息自动生成。</w:t>
            </w:r>
          </w:p>
          <w:p w14:paraId="677590CE">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用户与机构数据同步：平台应提供用户与机构数据的同步功能，应包含外部数据同步和手工数据处理两种方式。</w:t>
            </w:r>
          </w:p>
          <w:p w14:paraId="24411E08">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日志与审计：需支持查看管理员操作日志，操作者姓名、用户名、操作者IP、操作时间、操作内容、调用结果，支持搜索和查看管理员日志详情；</w:t>
            </w:r>
          </w:p>
          <w:p w14:paraId="7129E1A9">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需支持接口调用日志，包括APP ID、接口地址、接口类型、调用时间、调用者IP、耗时（ms）、调用结果。支持搜索接口调用日志。"</w:t>
            </w:r>
          </w:p>
        </w:tc>
        <w:tc>
          <w:tcPr>
            <w:tcW w:w="451" w:type="dxa"/>
            <w:vAlign w:val="center"/>
          </w:tcPr>
          <w:p w14:paraId="6EC2F88B">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w:t>
            </w:r>
          </w:p>
        </w:tc>
        <w:tc>
          <w:tcPr>
            <w:tcW w:w="652" w:type="dxa"/>
            <w:vAlign w:val="center"/>
          </w:tcPr>
          <w:p w14:paraId="48C5D8EB">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r>
      <w:tr w14:paraId="2690B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8EE3926">
            <w:pPr>
              <w:rPr>
                <w:color w:val="auto"/>
                <w:highlight w:val="none"/>
              </w:rPr>
            </w:pPr>
            <w:r>
              <w:rPr>
                <w:rFonts w:hint="eastAsia"/>
                <w:color w:val="auto"/>
                <w:highlight w:val="none"/>
              </w:rPr>
              <w:t>6</w:t>
            </w:r>
          </w:p>
        </w:tc>
        <w:tc>
          <w:tcPr>
            <w:tcW w:w="1639" w:type="dxa"/>
            <w:vAlign w:val="center"/>
          </w:tcPr>
          <w:p w14:paraId="66136774">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消息中心</w:t>
            </w:r>
          </w:p>
        </w:tc>
        <w:tc>
          <w:tcPr>
            <w:tcW w:w="5706" w:type="dxa"/>
            <w:vAlign w:val="center"/>
          </w:tcPr>
          <w:p w14:paraId="1174C8B3">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必读消息提醒：需支持必读消息提醒功能，当必读消息发送之后，若用户一直未读此消息，将会触发提醒规则，可配置规则（提醒通道、每天提醒时间、提醒模板），待发送提醒用户（根据应用分类的未读消息列表）。</w:t>
            </w:r>
          </w:p>
          <w:p w14:paraId="484442A9">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消息通道管理：需支持消息通道管理功能，在消息通道里，可同时配置包括全局、收件箱、短信、邮件、APP（钉钉、微信服务号、企业微信）多种消息发送方式。同时允许管理员配置消息发送间隔，以及单个用户每天被发送信息的上限次数。</w:t>
            </w:r>
          </w:p>
          <w:p w14:paraId="7DBE19BE">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▲消息使用分析：投标方需在投标文件中提供真实系统截图。</w:t>
            </w:r>
          </w:p>
          <w:p w14:paraId="00EE91C0">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①消息中心数据运行监控看板，查看消息发送的总体概况，应用消息和通道消息的发送情况以及发送消息的时间段分析，消息阅读和应用使用情况的分析。</w:t>
            </w:r>
          </w:p>
          <w:p w14:paraId="5B5A32D0">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②支持发送消息总数、今日消息数、今日已发消息数、接入消息中心应用数、通道数的查看。</w:t>
            </w:r>
          </w:p>
          <w:p w14:paraId="2E5C3B05">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③支持应用消息和通道消息发送情况查看、消息发送失败通道情况查看。</w:t>
            </w:r>
          </w:p>
          <w:p w14:paraId="2350EB83">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④支持消息阅读情况、应用使用情况、通道发送详情的查看。</w:t>
            </w:r>
          </w:p>
          <w:p w14:paraId="7267B902">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⑤支持发送消息应用top5统计。</w:t>
            </w:r>
          </w:p>
        </w:tc>
        <w:tc>
          <w:tcPr>
            <w:tcW w:w="451" w:type="dxa"/>
            <w:vAlign w:val="center"/>
          </w:tcPr>
          <w:p w14:paraId="10317951">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w:t>
            </w:r>
          </w:p>
        </w:tc>
        <w:tc>
          <w:tcPr>
            <w:tcW w:w="652" w:type="dxa"/>
            <w:vAlign w:val="center"/>
          </w:tcPr>
          <w:p w14:paraId="5507C801">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r>
      <w:tr w14:paraId="74F1D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888ADEF">
            <w:pPr>
              <w:rPr>
                <w:color w:val="auto"/>
                <w:highlight w:val="none"/>
              </w:rPr>
            </w:pPr>
            <w:r>
              <w:rPr>
                <w:rFonts w:hint="eastAsia"/>
                <w:color w:val="auto"/>
                <w:highlight w:val="none"/>
              </w:rPr>
              <w:t>7</w:t>
            </w:r>
          </w:p>
        </w:tc>
        <w:tc>
          <w:tcPr>
            <w:tcW w:w="1639" w:type="dxa"/>
            <w:vAlign w:val="center"/>
          </w:tcPr>
          <w:p w14:paraId="4E856491">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事项管理中心</w:t>
            </w:r>
          </w:p>
        </w:tc>
        <w:tc>
          <w:tcPr>
            <w:tcW w:w="5706" w:type="dxa"/>
            <w:vAlign w:val="center"/>
          </w:tcPr>
          <w:p w14:paraId="6E6FF819">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服务事项管理：需支持查看已创建的服务事项，并可根据自定义字段创建服务事项；</w:t>
            </w:r>
          </w:p>
          <w:p w14:paraId="588DC6B9">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需支持通过服务事项名称关键字搜索；</w:t>
            </w:r>
          </w:p>
          <w:p w14:paraId="520D99EC">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需支持通过已配置且已关联服务事项的服务对象、责任部门、服务主题进行下拉筛选；</w:t>
            </w:r>
          </w:p>
          <w:p w14:paraId="6ED6D018">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需支持通过是否关联服务进行筛选；</w:t>
            </w:r>
          </w:p>
          <w:p w14:paraId="41FA0EFF">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需支持通过服务事项状态进行筛选</w:t>
            </w:r>
          </w:p>
          <w:p w14:paraId="311E243B">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需按照服务事项名称、服务对象、责任部门、服务主题、是否关联服务、是否第三方、最近修改时间、填写进度、启停状态、操作（编辑/启停/删除）内容展示服务事项列表</w:t>
            </w:r>
          </w:p>
          <w:p w14:paraId="6C60ABDF">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服务事项评价管理</w:t>
            </w:r>
          </w:p>
          <w:p w14:paraId="53AE6BF1">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服务事项评价查询：需支持按服务事项、服务对象、责任部门、服务主题筛选；</w:t>
            </w:r>
          </w:p>
          <w:p w14:paraId="656FE5F9">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需支持评价结果的隐藏处理。</w:t>
            </w:r>
          </w:p>
          <w:p w14:paraId="10D6711A">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查看评价：需通过服务事项列表中某一条事项点击查看评价展开，可查看某条服务事项评价的具体内容；</w:t>
            </w:r>
          </w:p>
          <w:p w14:paraId="0DBDBEA7">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评价分数为四项：服务态度、信息完整度、办事进度、整体满意度，评价总分为前四项平均分，最高为五分（5.0）</w:t>
            </w:r>
          </w:p>
          <w:p w14:paraId="4347B5BB">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评价内容列表支持按照全部、好评、差评筛选查看，其中好评为三分及三分以上，差评为三分以下；</w:t>
            </w:r>
          </w:p>
          <w:p w14:paraId="31138F17">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评价内容展示评价人名称、评价时间、四项评价分数。</w:t>
            </w:r>
          </w:p>
          <w:p w14:paraId="56653C1F">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服务事项排序：管理员可通过已配置好的服务分类、责任部门内容，针对已有的服务事项进行排序；用于用户在前台根据不同的主题分类、部门分类筛选下查看的服务事项排序规则配置；</w:t>
            </w:r>
          </w:p>
          <w:p w14:paraId="04C05824">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三张清单管理</w:t>
            </w:r>
          </w:p>
          <w:p w14:paraId="62021F9D">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4.1</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责任清单维护：需支持按照“部门配置”中的部门树配置职责内容，同时支持搜索查询部门名称；部门树支持展示该部门下配置了多少个职责数量；</w:t>
            </w:r>
          </w:p>
          <w:p w14:paraId="0683AF44">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审批&amp;服务清单查询：需支持按照“部门配置”中的部门树查询内容，同时支持搜索查询部门名称；</w:t>
            </w:r>
          </w:p>
          <w:p w14:paraId="04E78665">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需点击部门可查看该部门下的清单内容，支持按照服务事项名称、清单类型、办理类型查询；</w:t>
            </w:r>
          </w:p>
          <w:p w14:paraId="411B7721">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服务事项配置</w:t>
            </w:r>
          </w:p>
          <w:p w14:paraId="55B60DCB">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分类配置：管理员可通过配置分类，为不同服务事项进行分组管理；用户可在前台门户通过关联服务事项的分类内容进行筛选查询服务事项；</w:t>
            </w:r>
          </w:p>
          <w:p w14:paraId="443C18A9">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服务事项分类支持最多可添加三级；同级别内支持上下排序；</w:t>
            </w:r>
          </w:p>
          <w:p w14:paraId="508AE528">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分类列表支持添加、编辑、删除分类内容，可根据不同分类纬度下进行分类名称关键字搜索；</w:t>
            </w:r>
          </w:p>
          <w:p w14:paraId="7B862098">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支持按照分类名称、图标类型（字体图标、PNG图标、不需要图标）新建一级分类；</w:t>
            </w:r>
          </w:p>
          <w:p w14:paraId="639D6B17">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支持按照分类名称、一级分类选择的图标类型来新建二/三级分类；</w:t>
            </w:r>
          </w:p>
          <w:p w14:paraId="29224592">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5.2</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服务事项详情配置：用户可以配置新建服务事项时的填写字段信息，用于生成办事指南展示给前台用户查看，分为基本信息与独立模块部分，系统出库将会包含预置信息部分。</w:t>
            </w:r>
          </w:p>
          <w:p w14:paraId="22D3C151">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5.3</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服务对象配置：管理员可通过关联组织机构、用户组、用户、游客配置服务对象，使用户在前台门户可以快速定位到与自己相关的内容，并针对不同的对象进行不同内容的推荐相关内容；</w:t>
            </w:r>
          </w:p>
          <w:p w14:paraId="30ABFAA5">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列表展示服务对象名称及单条服务对象对应的配置信息；</w:t>
            </w:r>
          </w:p>
          <w:p w14:paraId="50BB6AF3">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支持对单条服务对象进行关联、编辑、删除操作，并可对服务对象内容进行排序；其中管理员可通过关联组织机构、用户组、用户、游客配置服务对象；</w:t>
            </w:r>
          </w:p>
          <w:p w14:paraId="4102D268">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5.4</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部门配置：用于维护服务事项基本信息内服务部门及责任部门内容；管理员可通过管控台提供的组织机构树中选择相应部门。</w:t>
            </w:r>
          </w:p>
          <w:p w14:paraId="244EA95D">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授权管理：用于管理维护系统管理员、服务事项管理员；</w:t>
            </w:r>
          </w:p>
          <w:p w14:paraId="78C4167E">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系统管理员：可在授权范围内使用事项管理中心的菜单；</w:t>
            </w:r>
          </w:p>
          <w:p w14:paraId="159FEB71">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服务事项管理员：使用授权部门范围内的服务事项管理、服务事项评价查询、服务事项排序；服务事项管理员需设置事项管理的部门范围，可选择一个或多个部门。</w:t>
            </w:r>
          </w:p>
        </w:tc>
        <w:tc>
          <w:tcPr>
            <w:tcW w:w="451" w:type="dxa"/>
            <w:vAlign w:val="center"/>
          </w:tcPr>
          <w:p w14:paraId="331817B5">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w:t>
            </w:r>
          </w:p>
        </w:tc>
        <w:tc>
          <w:tcPr>
            <w:tcW w:w="652" w:type="dxa"/>
            <w:vAlign w:val="center"/>
          </w:tcPr>
          <w:p w14:paraId="3E52436F">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r>
      <w:tr w14:paraId="14FCE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D587741">
            <w:pPr>
              <w:rPr>
                <w:color w:val="auto"/>
                <w:highlight w:val="none"/>
              </w:rPr>
            </w:pPr>
            <w:r>
              <w:rPr>
                <w:rFonts w:hint="eastAsia"/>
                <w:color w:val="auto"/>
                <w:highlight w:val="none"/>
              </w:rPr>
              <w:t>8</w:t>
            </w:r>
          </w:p>
        </w:tc>
        <w:tc>
          <w:tcPr>
            <w:tcW w:w="1639" w:type="dxa"/>
            <w:vAlign w:val="center"/>
          </w:tcPr>
          <w:p w14:paraId="45E3E423">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零代码搭建服务</w:t>
            </w:r>
          </w:p>
        </w:tc>
        <w:tc>
          <w:tcPr>
            <w:tcW w:w="5706" w:type="dxa"/>
            <w:vAlign w:val="center"/>
          </w:tcPr>
          <w:p w14:paraId="330AE188">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管理端首页服务</w:t>
            </w:r>
          </w:p>
          <w:p w14:paraId="30A76DF0">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服务总览服务：集中展示访问概览、办理情况、服务概览等数据统计内容；</w:t>
            </w:r>
          </w:p>
          <w:p w14:paraId="44EB04F0">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运行分析服务：支持按照业务与和时间筛选，统计流程实例状态占比、任务状态占比、服务事项使用排行以及服务繁忙程度统计</w:t>
            </w:r>
          </w:p>
          <w:p w14:paraId="1194D9C5">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服务总览：▲提供集中展示访问概览、办理情况、服务概览等数据统计内容服务，展示服务的访问总数、访问人数、PC访问总数以及移动访问总数进行展示服务；展示面向办理次数、办结总数、办结率以及进行中的服务办理情况统计服务。投标方需在投标文件中提供真实系统截图。</w:t>
            </w:r>
          </w:p>
          <w:p w14:paraId="43F092EE">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流程设计管理服务：</w:t>
            </w:r>
          </w:p>
          <w:p w14:paraId="5087234F">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▲数据管理列表流程图展示节点审核人信息，流程图下一个节点可以点击查看审核人信息。投标方需在投标文件中提供真实系统截图。</w:t>
            </w:r>
          </w:p>
          <w:p w14:paraId="14175337">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按照流程名称、发起人、实例编号、流程状态、发起时间的过滤查询，操作功能上支持流程实例的流程图查看、办结取回、办结取回到首节点、终止、删除。</w:t>
            </w:r>
          </w:p>
          <w:p w14:paraId="12EB8497">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按照任务编号、节点名称、处理人账号、处理人、所属实例、流程名称、发起时间的过滤查询，操作功能上支持对流程运行任务进行人工干预的转办和跳转。</w:t>
            </w:r>
          </w:p>
        </w:tc>
        <w:tc>
          <w:tcPr>
            <w:tcW w:w="451" w:type="dxa"/>
            <w:vAlign w:val="center"/>
          </w:tcPr>
          <w:p w14:paraId="704A5D4F">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w:t>
            </w:r>
          </w:p>
        </w:tc>
        <w:tc>
          <w:tcPr>
            <w:tcW w:w="652" w:type="dxa"/>
            <w:vAlign w:val="center"/>
          </w:tcPr>
          <w:p w14:paraId="6FEA9256">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r>
      <w:tr w14:paraId="08A11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5AF85DA">
            <w:pPr>
              <w:rPr>
                <w:color w:val="auto"/>
                <w:highlight w:val="none"/>
              </w:rPr>
            </w:pPr>
            <w:r>
              <w:rPr>
                <w:rFonts w:hint="eastAsia"/>
                <w:color w:val="auto"/>
                <w:highlight w:val="none"/>
              </w:rPr>
              <w:t>9</w:t>
            </w:r>
          </w:p>
        </w:tc>
        <w:tc>
          <w:tcPr>
            <w:tcW w:w="1639" w:type="dxa"/>
            <w:vAlign w:val="center"/>
          </w:tcPr>
          <w:p w14:paraId="79AED20F">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教师服务</w:t>
            </w:r>
          </w:p>
        </w:tc>
        <w:tc>
          <w:tcPr>
            <w:tcW w:w="5706" w:type="dxa"/>
            <w:vAlign w:val="center"/>
          </w:tcPr>
          <w:p w14:paraId="42BD8FCC">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系统配置助手：为管理员提供产品功能指引，并提供简历表配置、流程配置、模型管理等功能，满足多样化的招聘需求。</w:t>
            </w:r>
          </w:p>
          <w:p w14:paraId="7D4252CE">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为管理员提供产品功能指引，包括准备工作、功能引荐和需求疏导以及上线检查。支持在线查看产品使用手册、学习视频、实施经验以及学习笔记。</w:t>
            </w:r>
          </w:p>
          <w:p w14:paraId="746FB6E6">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网站搭建：帮助学校搭建校内网招聘网站，招聘信息发布之后，相关应聘者可以在线查看学校的招聘计划、相关通知公告与新闻、招聘的具体信息和办事指南。</w:t>
            </w:r>
          </w:p>
          <w:p w14:paraId="7CC87E60">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计划管理：帮助学校通过信息化手段执行制定整体招聘计划，各部门根据需要申请招聘岗位并提交给政治部进行审核。招聘计划可以设置招聘的时间段、招聘的种类、计划开始时间、计划结束时间、招聘人数，岗位人数，支持定义多个招聘计划，招聘计划可以定义同时开展，也可以按时间顺序开展，对于特殊岗位可以设置允许应聘者不同时间重复申请，可以控制最多申请的岗位数量。</w:t>
            </w:r>
          </w:p>
          <w:p w14:paraId="32A52D93">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网上应聘：可以通过在线注册的方式，申请相关账号，通过该账号在招聘网站中填写简历并提交应聘信息，提交后可在招聘平台中查询审核结果。</w:t>
            </w:r>
          </w:p>
          <w:p w14:paraId="05D22E42">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简历筛选与录用审核：系统自动汇集投递的简历信息，并根据投递岗位及批次流转到对应环节及简历筛选审核人员，政治部、院系部处等各相关管理人员可以收到审核待办提醒。提供人员筛选、提交审核意见等操作。</w:t>
            </w:r>
          </w:p>
          <w:p w14:paraId="1F4CC0AB">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体检管理：管理员可对应聘者进行体检安排及通知，包括体检参加确认、体检结果登记。</w:t>
            </w:r>
          </w:p>
          <w:p w14:paraId="6B4542E3">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招聘环节提供20万条短信服务，包括短信模板设置，与学校消息中心对接配置等，此短信服务使用时长不限，用于教师服务招聘的各项短信服务，短信费用由中标方承担。</w:t>
            </w:r>
          </w:p>
        </w:tc>
        <w:tc>
          <w:tcPr>
            <w:tcW w:w="451" w:type="dxa"/>
            <w:vAlign w:val="center"/>
          </w:tcPr>
          <w:p w14:paraId="5B23DF0C">
            <w:pPr>
              <w:spacing w:line="276" w:lineRule="auto"/>
              <w:jc w:val="center"/>
              <w:rPr>
                <w:rFonts w:hint="eastAsia" w:ascii="仿宋_GB2312" w:hAnsi="仿宋_GB2312" w:eastAsia="仿宋_GB2312" w:cs="仿宋_GB2312"/>
                <w:color w:val="auto"/>
                <w:sz w:val="24"/>
                <w:szCs w:val="24"/>
                <w:highlight w:val="none"/>
              </w:rPr>
            </w:pPr>
            <w:r>
              <w:rPr>
                <w:rFonts w:hint="eastAsia" w:ascii="宋体" w:hAnsi="宋体" w:cs="宋体"/>
                <w:color w:val="auto"/>
                <w:sz w:val="24"/>
                <w:szCs w:val="24"/>
                <w:highlight w:val="none"/>
              </w:rPr>
              <w:t>项</w:t>
            </w:r>
          </w:p>
        </w:tc>
        <w:tc>
          <w:tcPr>
            <w:tcW w:w="652" w:type="dxa"/>
            <w:vAlign w:val="center"/>
          </w:tcPr>
          <w:p w14:paraId="0A30AE72">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r>
      <w:tr w14:paraId="54D10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6420144">
            <w:pPr>
              <w:rPr>
                <w:color w:val="auto"/>
                <w:highlight w:val="none"/>
              </w:rPr>
            </w:pPr>
            <w:r>
              <w:rPr>
                <w:rFonts w:hint="eastAsia"/>
                <w:color w:val="auto"/>
                <w:highlight w:val="none"/>
              </w:rPr>
              <w:t>10</w:t>
            </w:r>
          </w:p>
        </w:tc>
        <w:tc>
          <w:tcPr>
            <w:tcW w:w="1639" w:type="dxa"/>
            <w:vAlign w:val="center"/>
          </w:tcPr>
          <w:p w14:paraId="4D374FCA">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▲门户集成接口服务</w:t>
            </w:r>
          </w:p>
        </w:tc>
        <w:tc>
          <w:tcPr>
            <w:tcW w:w="5706" w:type="dxa"/>
            <w:vAlign w:val="center"/>
          </w:tcPr>
          <w:p w14:paraId="5B870623">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遵循“聚、通、用”的原则，统一应用融合门户平台免费开放消息待办的接口，以便各应用厂家进行对接，成交供应商承诺与学校现有日常教学与管理常用的应用系统</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包括但不限于教务系统、科研系统、oa办公系统、内控系统、学生管理平台、虚拟学生社区平台等</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实现消息推送功能，以上系统如产生接口费用则由校方配合进行协调，成交供应商承担</w:t>
            </w:r>
            <w:r>
              <w:rPr>
                <w:rFonts w:hint="eastAsia" w:ascii="仿宋_GB2312" w:hAnsi="仿宋_GB2312" w:eastAsia="仿宋_GB2312" w:cs="仿宋_GB2312"/>
                <w:color w:val="auto"/>
                <w:sz w:val="24"/>
                <w:szCs w:val="24"/>
                <w:highlight w:val="none"/>
                <w:lang w:val="en-US" w:eastAsia="zh-CN"/>
              </w:rPr>
              <w:t>所产生的</w:t>
            </w:r>
            <w:r>
              <w:rPr>
                <w:rFonts w:hint="eastAsia" w:ascii="仿宋_GB2312" w:hAnsi="仿宋_GB2312" w:eastAsia="仿宋_GB2312" w:cs="仿宋_GB2312"/>
                <w:color w:val="auto"/>
                <w:sz w:val="24"/>
                <w:szCs w:val="24"/>
                <w:highlight w:val="none"/>
              </w:rPr>
              <w:t>相应费用，成交供应商须提供承诺函并加盖公章。</w:t>
            </w:r>
          </w:p>
          <w:p w14:paraId="22A971A7">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成交供应商须承诺如下业务系统可与统一应用融合门户无缝对接；</w:t>
            </w:r>
          </w:p>
          <w:p w14:paraId="46928380">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1.1实现与学生管理平台、虚拟学生社区平台的个人信息保持数据同步对接，成交供应商需根据学校接口标准进行系统对接服务，避免出现数据的不一致；</w:t>
            </w:r>
          </w:p>
          <w:p w14:paraId="05EC3275">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1.2保持与学生管理平台的辅导员管理系统学生信息数据同步，避免出现学生请假、查寝、辅导员日志、资助类功能的审核人员信息不准。</w:t>
            </w:r>
          </w:p>
          <w:p w14:paraId="6AABF50E">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学校建设数据中台时，成交供应商免费开放门户接口进行对接，不再收取任何费用。</w:t>
            </w:r>
          </w:p>
          <w:p w14:paraId="0E8A0B5A">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质保期内，成交供应商建设的统一应用融合门户平台须配合第三方新建业务系统的消息集成服务。</w:t>
            </w:r>
          </w:p>
        </w:tc>
        <w:tc>
          <w:tcPr>
            <w:tcW w:w="451" w:type="dxa"/>
            <w:vAlign w:val="center"/>
          </w:tcPr>
          <w:p w14:paraId="60E223EE">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w:t>
            </w:r>
          </w:p>
        </w:tc>
        <w:tc>
          <w:tcPr>
            <w:tcW w:w="652" w:type="dxa"/>
            <w:vAlign w:val="center"/>
          </w:tcPr>
          <w:p w14:paraId="5E89500E">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r>
    </w:tbl>
    <w:p w14:paraId="77600FDA">
      <w:pPr>
        <w:spacing w:line="560" w:lineRule="exact"/>
        <w:rPr>
          <w:rFonts w:hint="eastAsia" w:ascii="仿宋_GB2312" w:hAnsi="仿宋_GB2312" w:eastAsia="仿宋_GB2312" w:cs="仿宋_GB2312"/>
          <w:color w:val="auto"/>
          <w:sz w:val="32"/>
          <w:szCs w:val="32"/>
          <w:highlight w:val="none"/>
        </w:rPr>
      </w:pPr>
    </w:p>
    <w:p w14:paraId="10A6D03C">
      <w:pPr>
        <w:pageBreakBefore w:val="0"/>
        <w:numPr>
          <w:ilvl w:val="0"/>
          <w:numId w:val="0"/>
        </w:numPr>
        <w:kinsoku/>
        <w:overflowPunct/>
        <w:topLinePunct w:val="0"/>
        <w:autoSpaceDE/>
        <w:autoSpaceDN/>
        <w:bidi w:val="0"/>
        <w:adjustRightInd/>
        <w:spacing w:line="560" w:lineRule="exact"/>
        <w:ind w:leftChars="0" w:right="2" w:rightChars="1"/>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商务要求：</w:t>
      </w:r>
    </w:p>
    <w:p w14:paraId="137EB9ED">
      <w:pPr>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报价要求：本项目成交金额为完成项目所有服务所需的费用，包括但不限于货物及货物运抵指定交付地点的各种费用、随配附件、备品备件、易损件、专用工具、安装调试、技术培训、技术资料、包装、售后服务、保险费、税金、验收检验及其他所有成本费用的总和，合同履约期间采购人不再支付合同金额以外的其他费用。</w:t>
      </w:r>
    </w:p>
    <w:p w14:paraId="65F06622">
      <w:pPr>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服务期要求：</w:t>
      </w:r>
    </w:p>
    <w:p w14:paraId="60C64FD2">
      <w:pPr>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质保期从交货、安装调试完毕，产品验收合格之日起计算，厂家提供3年免费质保服务，质保期内提供免费上门维修服务。在质保期内因质量问题由成交供应商无条件更换，费用由成交供应商负责。</w:t>
      </w:r>
    </w:p>
    <w:p w14:paraId="40B57111">
      <w:pPr>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交付时间：自合同签订之日起90个工作日内全部交付使用，如成交供应商响应时间少于90个工作日的，以最终承诺交付时间为准。</w:t>
      </w:r>
    </w:p>
    <w:p w14:paraId="7E9DF019">
      <w:pPr>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交付地点：采购人指定地点。</w:t>
      </w:r>
    </w:p>
    <w:p w14:paraId="2A9D09D9">
      <w:pPr>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5.付款方式：甲方按以下约定时间向乙方支付本合同价款，项目验收款为项目总额85%；项目验收一年后，支付质保款，为项目总额5%；项目验收二年后，支付维保款，为项目总额10%，分三年平均支付。</w:t>
      </w:r>
    </w:p>
    <w:p w14:paraId="509257F6">
      <w:pPr>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售后服务要求：</w:t>
      </w:r>
    </w:p>
    <w:p w14:paraId="0CAFFD1B">
      <w:pPr>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（1）提供7*12小时技术支持服务，包括即时线上、电话、邮件等服务；若远程不能解决问题时，应提供上门服务。</w:t>
      </w:r>
    </w:p>
    <w:p w14:paraId="639F455D">
      <w:pPr>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（2）响应：</w:t>
      </w:r>
      <w:r>
        <w:rPr>
          <w:rFonts w:ascii="仿宋_GB2312" w:hAnsi="仿宋_GB2312" w:eastAsia="仿宋_GB2312" w:cs="仿宋_GB2312"/>
          <w:sz w:val="32"/>
          <w:szCs w:val="32"/>
        </w:rPr>
        <w:t>提供7*24小时维修服务，并提供售后服务电话，出现故障应在接到故障通知起2小时内响应，</w:t>
      </w:r>
      <w:r>
        <w:rPr>
          <w:rFonts w:hint="eastAsia" w:ascii="仿宋_GB2312" w:hAnsi="仿宋_GB2312" w:eastAsia="仿宋_GB2312" w:cs="仿宋_GB2312"/>
          <w:sz w:val="32"/>
          <w:szCs w:val="32"/>
        </w:rPr>
        <w:t>12</w:t>
      </w:r>
      <w:r>
        <w:rPr>
          <w:rFonts w:ascii="仿宋_GB2312" w:hAnsi="仿宋_GB2312" w:eastAsia="仿宋_GB2312" w:cs="仿宋_GB2312"/>
          <w:sz w:val="32"/>
          <w:szCs w:val="32"/>
        </w:rPr>
        <w:t>小时内到达现场处理，一般问题不超过</w:t>
      </w:r>
      <w:r>
        <w:rPr>
          <w:rFonts w:hint="eastAsia" w:ascii="仿宋_GB2312" w:hAnsi="仿宋_GB2312" w:eastAsia="仿宋_GB2312" w:cs="仿宋_GB2312"/>
          <w:sz w:val="32"/>
          <w:szCs w:val="32"/>
        </w:rPr>
        <w:t>8</w:t>
      </w:r>
      <w:r>
        <w:rPr>
          <w:rFonts w:ascii="仿宋_GB2312" w:hAnsi="仿宋_GB2312" w:eastAsia="仿宋_GB2312" w:cs="仿宋_GB2312"/>
          <w:sz w:val="32"/>
          <w:szCs w:val="32"/>
        </w:rPr>
        <w:t>小时修复；遇到重大问题，在接到报修通知后24小时内派技术人员到达现场维修，故障修复时限不超过</w:t>
      </w:r>
      <w:r>
        <w:rPr>
          <w:rFonts w:hint="eastAsia" w:ascii="仿宋_GB2312" w:hAnsi="仿宋_GB2312" w:eastAsia="仿宋_GB2312" w:cs="仿宋_GB2312"/>
          <w:sz w:val="32"/>
          <w:szCs w:val="32"/>
        </w:rPr>
        <w:t>48</w:t>
      </w:r>
      <w:r>
        <w:rPr>
          <w:rFonts w:ascii="仿宋_GB2312" w:hAnsi="仿宋_GB2312" w:eastAsia="仿宋_GB2312" w:cs="仿宋_GB2312"/>
          <w:sz w:val="32"/>
          <w:szCs w:val="32"/>
        </w:rPr>
        <w:t>小时</w:t>
      </w:r>
      <w:r>
        <w:rPr>
          <w:rFonts w:hint="eastAsia" w:ascii="仿宋_GB2312" w:hAnsi="仿宋_GB2312" w:eastAsia="仿宋_GB2312" w:cs="仿宋_GB2312"/>
          <w:sz w:val="32"/>
          <w:szCs w:val="32"/>
        </w:rPr>
        <w:t>。</w:t>
      </w:r>
    </w:p>
    <w:p w14:paraId="3820D932">
      <w:pPr>
        <w:pageBreakBefore w:val="0"/>
        <w:kinsoku/>
        <w:overflowPunct/>
        <w:topLinePunct w:val="0"/>
        <w:autoSpaceDE/>
        <w:autoSpaceDN/>
        <w:bidi w:val="0"/>
        <w:adjustRightInd/>
        <w:spacing w:line="560" w:lineRule="exact"/>
        <w:ind w:firstLine="755" w:firstLineChars="23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（3）成交供应商提供的</w:t>
      </w:r>
      <w:r>
        <w:rPr>
          <w:rFonts w:ascii="仿宋_GB2312" w:hAnsi="仿宋_GB2312" w:eastAsia="仿宋_GB2312" w:cs="仿宋_GB2312"/>
          <w:sz w:val="32"/>
          <w:szCs w:val="32"/>
        </w:rPr>
        <w:t>必须是按厂家标准配置的整套全新产品，按国家规定实行“三包”，免费送货上门、免费安装调试（附安装说明书）及人员培训，培训后</w:t>
      </w:r>
      <w:r>
        <w:rPr>
          <w:rFonts w:hint="eastAsia" w:ascii="仿宋_GB2312" w:hAnsi="仿宋_GB2312" w:eastAsia="仿宋_GB2312" w:cs="仿宋_GB2312"/>
          <w:sz w:val="32"/>
          <w:szCs w:val="32"/>
        </w:rPr>
        <w:t>建设单位</w:t>
      </w:r>
      <w:r>
        <w:rPr>
          <w:rFonts w:ascii="仿宋_GB2312" w:hAnsi="仿宋_GB2312" w:eastAsia="仿宋_GB2312" w:cs="仿宋_GB2312"/>
          <w:sz w:val="32"/>
          <w:szCs w:val="32"/>
        </w:rPr>
        <w:t>可熟悉基本操作；</w:t>
      </w:r>
    </w:p>
    <w:p w14:paraId="4AA4EF1D">
      <w:pPr>
        <w:pageBreakBefore w:val="0"/>
        <w:kinsoku/>
        <w:overflowPunct/>
        <w:topLinePunct w:val="0"/>
        <w:autoSpaceDE/>
        <w:autoSpaceDN/>
        <w:bidi w:val="0"/>
        <w:adjustRightInd/>
        <w:spacing w:line="560" w:lineRule="exact"/>
        <w:ind w:firstLine="755" w:firstLineChars="23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本投标产品相关系统及网络安全按等级保护二级及以上进行安全性标准建设，在项目部署完成后承诺配合</w:t>
      </w:r>
      <w:r>
        <w:rPr>
          <w:rFonts w:hint="eastAsia" w:ascii="仿宋_GB2312" w:hAnsi="仿宋_GB2312" w:eastAsia="仿宋_GB2312" w:cs="仿宋_GB2312"/>
          <w:sz w:val="32"/>
          <w:szCs w:val="32"/>
        </w:rPr>
        <w:t>建设单位</w:t>
      </w:r>
      <w:r>
        <w:rPr>
          <w:rFonts w:ascii="仿宋_GB2312" w:hAnsi="仿宋_GB2312" w:eastAsia="仿宋_GB2312" w:cs="仿宋_GB2312"/>
          <w:sz w:val="32"/>
          <w:szCs w:val="32"/>
        </w:rPr>
        <w:t>及</w:t>
      </w:r>
      <w:r>
        <w:rPr>
          <w:rFonts w:hint="eastAsia" w:ascii="仿宋_GB2312" w:hAnsi="仿宋_GB2312" w:eastAsia="仿宋_GB2312" w:cs="仿宋_GB2312"/>
          <w:sz w:val="32"/>
          <w:szCs w:val="32"/>
        </w:rPr>
        <w:t>建设单位</w:t>
      </w:r>
      <w:r>
        <w:rPr>
          <w:rFonts w:ascii="仿宋_GB2312" w:hAnsi="仿宋_GB2312" w:eastAsia="仿宋_GB2312" w:cs="仿宋_GB2312"/>
          <w:sz w:val="32"/>
          <w:szCs w:val="32"/>
        </w:rPr>
        <w:t>授权的第三方进行系统安全检测，并提供相关的文档资料;</w:t>
      </w:r>
      <w:r>
        <w:rPr>
          <w:rFonts w:ascii="仿宋_GB2312" w:hAnsi="仿宋_GB2312" w:eastAsia="仿宋_GB2312" w:cs="仿宋_GB2312"/>
          <w:sz w:val="32"/>
          <w:szCs w:val="32"/>
        </w:rPr>
        <w:tab/>
      </w:r>
      <w:r>
        <w:rPr>
          <w:rFonts w:hint="eastAsia" w:ascii="仿宋_GB2312" w:hAnsi="仿宋_GB2312" w:eastAsia="仿宋_GB2312" w:cs="仿宋_GB2312"/>
          <w:sz w:val="32"/>
          <w:szCs w:val="32"/>
        </w:rPr>
        <w:t>系统使用期内如发现安全漏洞，成交供应商需对评估报告中风险问题进行整改服务。软件试运行后，于验收前完成用户压力测试并提供不低于1000并发量的测试报告。</w:t>
      </w:r>
    </w:p>
    <w:p w14:paraId="7F99B136">
      <w:pPr>
        <w:pageBreakBefore w:val="0"/>
        <w:kinsoku/>
        <w:overflowPunct/>
        <w:topLinePunct w:val="0"/>
        <w:autoSpaceDE/>
        <w:autoSpaceDN/>
        <w:bidi w:val="0"/>
        <w:adjustRightInd/>
        <w:spacing w:line="560" w:lineRule="exact"/>
        <w:ind w:firstLine="755" w:firstLineChars="23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提供上述服务提供2名原厂技术工程师（含1名项目经理）进行日常服务保证项目质量，须具有同类软件在教育行业工作经验，签订合同时提供驻场工程师社保或劳动合同复印件，不符要求可无条件更换人员，驻场工程师需具有厂家相关认证证书，项目经理需每周定期向校方汇报施工进度报告，服务期内定期提供系统运行报告。</w:t>
      </w:r>
    </w:p>
    <w:p w14:paraId="48C09209">
      <w:pPr>
        <w:pageBreakBefore w:val="0"/>
        <w:kinsoku/>
        <w:overflowPunct/>
        <w:topLinePunct w:val="0"/>
        <w:autoSpaceDE/>
        <w:autoSpaceDN/>
        <w:bidi w:val="0"/>
        <w:adjustRightInd/>
        <w:spacing w:line="560" w:lineRule="exact"/>
        <w:ind w:firstLine="566" w:firstLineChars="17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质量保证期内免费提供维修服务（含人工费、配件费、差旅费等各项费用）；保修期以外一律按投标文件承诺的优惠价收费，提供终身上门维修服务。</w:t>
      </w:r>
    </w:p>
    <w:p w14:paraId="36D9DB79">
      <w:pPr>
        <w:pageBreakBefore w:val="0"/>
        <w:kinsoku/>
        <w:overflowPunct/>
        <w:topLinePunct w:val="0"/>
        <w:autoSpaceDE/>
        <w:autoSpaceDN/>
        <w:bidi w:val="0"/>
        <w:adjustRightInd/>
        <w:spacing w:line="560" w:lineRule="exact"/>
        <w:ind w:firstLine="566" w:firstLineChars="17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（7）完成对所有系统产品等进行培训，包括现场培训、集中培训、专项培训及多媒体演示培训，其中现场培训不少于5次，并提出详细的培训方案，培训费用计入总报价。</w:t>
      </w:r>
    </w:p>
    <w:p w14:paraId="4322BB61">
      <w:pPr>
        <w:pageBreakBefore w:val="0"/>
        <w:kinsoku/>
        <w:overflowPunct/>
        <w:topLinePunct w:val="0"/>
        <w:autoSpaceDE/>
        <w:autoSpaceDN/>
        <w:bidi w:val="0"/>
        <w:adjustRightInd/>
        <w:spacing w:line="560" w:lineRule="exact"/>
        <w:ind w:firstLine="755" w:firstLineChars="23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质保期满后本项目所投标软件维护（含软件更新升级）费按该项目中标价的5%收取。</w:t>
      </w:r>
    </w:p>
    <w:p w14:paraId="3E56C52D">
      <w:pPr>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知识产权要求：成交供应商须保证采购人在接受其提供的相关软件和服务时免受第三方提出侵犯其知识产权的起诉，由此引起的知识产权纠纷由成交供应商负责，需提供承诺函。</w:t>
      </w:r>
    </w:p>
    <w:p w14:paraId="62EE1FD8">
      <w:pPr>
        <w:pageBreakBefore w:val="0"/>
        <w:kinsoku/>
        <w:overflowPunct/>
        <w:topLinePunct w:val="0"/>
        <w:autoSpaceDE/>
        <w:autoSpaceDN/>
        <w:bidi w:val="0"/>
        <w:adjustRightInd/>
        <w:spacing w:line="560" w:lineRule="exact"/>
        <w:ind w:firstLine="755" w:firstLineChars="23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（1）本项目的软件使用权和校内数据知识产权归项目建设单位所有；所有软件提供永久性使用授权，签合同时需提供原厂商授权证明文件。</w:t>
      </w:r>
    </w:p>
    <w:p w14:paraId="6F6BC991">
      <w:pPr>
        <w:pageBreakBefore w:val="0"/>
        <w:kinsoku/>
        <w:overflowPunct/>
        <w:topLinePunct w:val="0"/>
        <w:autoSpaceDE/>
        <w:autoSpaceDN/>
        <w:bidi w:val="0"/>
        <w:adjustRightInd/>
        <w:spacing w:line="560" w:lineRule="exact"/>
        <w:ind w:firstLine="755" w:firstLineChars="23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（2）涉及的定制部分的代码（含质保期内的后续升级版本）遵循相关标准和规范，并无条件提交给项目建设单位；</w:t>
      </w:r>
    </w:p>
    <w:p w14:paraId="70D04576">
      <w:pPr>
        <w:pageBreakBefore w:val="0"/>
        <w:kinsoku/>
        <w:overflowPunct/>
        <w:topLinePunct w:val="0"/>
        <w:autoSpaceDE/>
        <w:autoSpaceDN/>
        <w:bidi w:val="0"/>
        <w:adjustRightInd/>
        <w:spacing w:line="560" w:lineRule="exact"/>
        <w:ind w:firstLine="755" w:firstLineChars="23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（3）涉及接口的，必须遵循相关标准和规范。向下部署的，必须无条件开放所有接口且满足国家共享相关规定要求。项目承建单位（施工单位、实施单位）有义务配合项目建设单位做好有关信息共享工作；</w:t>
      </w:r>
    </w:p>
    <w:p w14:paraId="0F724318">
      <w:pPr>
        <w:pageBreakBefore w:val="0"/>
        <w:kinsoku/>
        <w:overflowPunct/>
        <w:topLinePunct w:val="0"/>
        <w:autoSpaceDE/>
        <w:autoSpaceDN/>
        <w:bidi w:val="0"/>
        <w:adjustRightInd/>
        <w:spacing w:line="560" w:lineRule="exact"/>
        <w:ind w:firstLine="755" w:firstLineChars="23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（4）本项目在开发、使用和维护过程中接触到的项目建设单位所有资料，未经项目建设单位授权代表书面许可，不得留存、私自查阅及向第三方泄露；</w:t>
      </w:r>
    </w:p>
    <w:p w14:paraId="4782986A">
      <w:pPr>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xml:space="preserve"> 验收标准及要求：</w:t>
      </w:r>
    </w:p>
    <w:p w14:paraId="7FE69A4C">
      <w:pPr>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成交供应商在90个工作日内面向最终用户完成项目需求调研、软件产品的安装部署、客户化开发、实施、试运行并交付使用，由建设单位在成交供应商完成项目后七个工作日内进行验收。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国家强制性技术标准及有关规定；</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交货验收时，采购人根据《广西壮族自治区政府采购项目履约验收管理办法》的规定，由采购人及</w:t>
      </w:r>
      <w:r>
        <w:rPr>
          <w:rFonts w:hint="eastAsia" w:ascii="仿宋_GB2312" w:hAnsi="仿宋_GB2312" w:eastAsia="仿宋_GB2312" w:cs="仿宋_GB2312"/>
          <w:sz w:val="32"/>
          <w:szCs w:val="32"/>
        </w:rPr>
        <w:t>成交供应商</w:t>
      </w:r>
      <w:r>
        <w:rPr>
          <w:rFonts w:ascii="仿宋_GB2312" w:hAnsi="仿宋_GB2312" w:eastAsia="仿宋_GB2312" w:cs="仿宋_GB2312"/>
          <w:sz w:val="32"/>
          <w:szCs w:val="32"/>
        </w:rPr>
        <w:t>双方共同进行验收。必要时可委托国家认可的质量检测机构开展采购项目验收工作；</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本项目因</w:t>
      </w:r>
      <w:r>
        <w:rPr>
          <w:rFonts w:hint="eastAsia" w:ascii="仿宋_GB2312" w:hAnsi="仿宋_GB2312" w:eastAsia="仿宋_GB2312" w:cs="仿宋_GB2312"/>
          <w:sz w:val="32"/>
          <w:szCs w:val="32"/>
        </w:rPr>
        <w:t>成交供应商</w:t>
      </w:r>
      <w:r>
        <w:rPr>
          <w:rFonts w:ascii="仿宋_GB2312" w:hAnsi="仿宋_GB2312" w:eastAsia="仿宋_GB2312" w:cs="仿宋_GB2312"/>
          <w:sz w:val="32"/>
          <w:szCs w:val="32"/>
        </w:rPr>
        <w:t>提供的货物不能满足采购需求的技术参数或其投标文件承诺等原因无法通过验收，造成不能按时、按质、按量完成项目要求的，将按照《中华人民共和国政府采购法》等法律法规由中标人承担相应的法律责任；</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验收费用：验收所产生的检验费及相关的全部费用均由</w:t>
      </w:r>
      <w:r>
        <w:rPr>
          <w:rFonts w:hint="eastAsia" w:ascii="仿宋_GB2312" w:hAnsi="仿宋_GB2312" w:eastAsia="仿宋_GB2312" w:cs="仿宋_GB2312"/>
          <w:sz w:val="32"/>
          <w:szCs w:val="32"/>
        </w:rPr>
        <w:t>成交供应商</w:t>
      </w:r>
      <w:r>
        <w:rPr>
          <w:rFonts w:ascii="仿宋_GB2312" w:hAnsi="仿宋_GB2312" w:eastAsia="仿宋_GB2312" w:cs="仿宋_GB2312"/>
          <w:sz w:val="32"/>
          <w:szCs w:val="32"/>
        </w:rPr>
        <w:t>承担；</w:t>
      </w:r>
    </w:p>
    <w:p w14:paraId="064841C0">
      <w:pPr>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投标人从2022年1月1日至今有同类软件项目或类似项目业绩，投标文件中提供有效的合同复印件加盖投标人公章（合同要求体现签订双方名称、采购内容、签订日期、签订双方盖章），同时通过用户验收，以销售合同、验收报告为准。</w:t>
      </w:r>
    </w:p>
    <w:p w14:paraId="798F79E2">
      <w:pPr>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其他要求：提交的响应文件中必须包括技术方案</w:t>
      </w:r>
    </w:p>
    <w:p w14:paraId="071FFE92">
      <w:pPr>
        <w:pageBreakBefore w:val="0"/>
        <w:shd w:val="clear"/>
        <w:kinsoku/>
        <w:wordWrap/>
        <w:overflowPunct/>
        <w:topLinePunct w:val="0"/>
        <w:autoSpaceDE/>
        <w:autoSpaceDN/>
        <w:bidi w:val="0"/>
        <w:adjustRightInd/>
        <w:snapToGrid/>
        <w:spacing w:line="560" w:lineRule="exact"/>
        <w:jc w:val="both"/>
        <w:textAlignment w:val="auto"/>
        <w:rPr>
          <w:rFonts w:hint="default" w:ascii="宋体" w:hAnsi="宋体"/>
          <w:sz w:val="32"/>
          <w:szCs w:val="32"/>
          <w:highlight w:val="none"/>
          <w:u w:val="none"/>
          <w:lang w:val="en-US" w:eastAsia="zh-CN"/>
        </w:rPr>
      </w:pPr>
    </w:p>
    <w:p w14:paraId="3E19E80B">
      <w:pPr>
        <w:pageBreakBefore w:val="0"/>
        <w:shd w:val="clear"/>
        <w:kinsoku/>
        <w:wordWrap/>
        <w:overflowPunct/>
        <w:topLinePunct w:val="0"/>
        <w:autoSpaceDE/>
        <w:autoSpaceDN/>
        <w:bidi w:val="0"/>
        <w:adjustRightInd/>
        <w:snapToGrid/>
        <w:spacing w:line="560" w:lineRule="exact"/>
        <w:jc w:val="both"/>
        <w:textAlignment w:val="auto"/>
        <w:rPr>
          <w:rFonts w:hint="eastAsia" w:ascii="宋体" w:hAnsi="宋体"/>
          <w:sz w:val="32"/>
          <w:szCs w:val="32"/>
          <w:highlight w:val="none"/>
          <w:u w:val="none"/>
          <w:lang w:val="en-US" w:eastAsia="zh-CN"/>
        </w:rPr>
      </w:pPr>
    </w:p>
    <w:p w14:paraId="60241403">
      <w:pPr>
        <w:pageBreakBefore w:val="0"/>
        <w:shd w:val="clear"/>
        <w:kinsoku/>
        <w:wordWrap/>
        <w:overflowPunct/>
        <w:topLinePunct w:val="0"/>
        <w:autoSpaceDE/>
        <w:autoSpaceDN/>
        <w:bidi w:val="0"/>
        <w:adjustRightInd/>
        <w:snapToGrid/>
        <w:spacing w:line="560" w:lineRule="exact"/>
        <w:jc w:val="both"/>
        <w:textAlignment w:val="auto"/>
        <w:rPr>
          <w:rFonts w:hint="eastAsia" w:ascii="宋体" w:hAnsi="宋体"/>
          <w:sz w:val="32"/>
          <w:szCs w:val="32"/>
          <w:highlight w:val="none"/>
          <w:u w:val="none"/>
          <w:lang w:val="en-US" w:eastAsia="zh-CN"/>
        </w:rPr>
      </w:pPr>
    </w:p>
    <w:p w14:paraId="546A6EB5">
      <w:pPr>
        <w:pageBreakBefore w:val="0"/>
        <w:shd w:val="clear"/>
        <w:kinsoku/>
        <w:wordWrap/>
        <w:overflowPunct/>
        <w:topLinePunct w:val="0"/>
        <w:autoSpaceDE/>
        <w:autoSpaceDN/>
        <w:bidi w:val="0"/>
        <w:adjustRightInd/>
        <w:snapToGrid/>
        <w:spacing w:line="560" w:lineRule="exact"/>
        <w:jc w:val="both"/>
        <w:textAlignment w:val="auto"/>
        <w:rPr>
          <w:rFonts w:hint="eastAsia" w:ascii="宋体" w:hAnsi="宋体"/>
          <w:sz w:val="32"/>
          <w:szCs w:val="32"/>
          <w:highlight w:val="none"/>
          <w:u w:val="none"/>
          <w:lang w:val="en-US" w:eastAsia="zh-CN"/>
        </w:rPr>
      </w:pPr>
      <w:r>
        <w:rPr>
          <w:rFonts w:hint="eastAsia" w:ascii="宋体" w:hAnsi="宋体"/>
          <w:sz w:val="32"/>
          <w:szCs w:val="32"/>
          <w:highlight w:val="none"/>
          <w:u w:val="none"/>
          <w:lang w:val="en-US" w:eastAsia="zh-CN"/>
        </w:rPr>
        <w:t xml:space="preserve">附件5                              </w:t>
      </w:r>
    </w:p>
    <w:p w14:paraId="1FCE3D36">
      <w:pPr>
        <w:pageBreakBefore w:val="0"/>
        <w:shd w:val="clear"/>
        <w:kinsoku/>
        <w:wordWrap/>
        <w:overflowPunct/>
        <w:topLinePunct w:val="0"/>
        <w:autoSpaceDE/>
        <w:autoSpaceDN/>
        <w:bidi w:val="0"/>
        <w:adjustRightInd/>
        <w:snapToGrid/>
        <w:spacing w:line="560" w:lineRule="exact"/>
        <w:ind w:firstLine="5040" w:firstLineChars="1800"/>
        <w:jc w:val="both"/>
        <w:textAlignment w:val="auto"/>
        <w:rPr>
          <w:rFonts w:ascii="Times New Roman" w:hAnsi="Times New Roman"/>
          <w:color w:val="000000"/>
          <w:sz w:val="28"/>
          <w:szCs w:val="28"/>
          <w:highlight w:val="none"/>
          <w:u w:val="single"/>
        </w:rPr>
      </w:pPr>
      <w:r>
        <w:rPr>
          <w:rFonts w:ascii="Times New Roman" w:hAnsi="宋体"/>
          <w:color w:val="000000"/>
          <w:sz w:val="28"/>
          <w:szCs w:val="28"/>
          <w:highlight w:val="none"/>
        </w:rPr>
        <w:t>合同编号：</w:t>
      </w:r>
      <w:r>
        <w:rPr>
          <w:rFonts w:ascii="Times New Roman" w:hAnsi="Times New Roman"/>
          <w:color w:val="000000"/>
          <w:sz w:val="28"/>
          <w:szCs w:val="28"/>
          <w:highlight w:val="none"/>
          <w:u w:val="single"/>
        </w:rPr>
        <w:t xml:space="preserve"> </w:t>
      </w:r>
      <w:r>
        <w:rPr>
          <w:rFonts w:hint="eastAsia" w:ascii="Times New Roman" w:hAnsi="Times New Roman"/>
          <w:color w:val="000000"/>
          <w:sz w:val="28"/>
          <w:szCs w:val="28"/>
          <w:highlight w:val="none"/>
          <w:u w:val="single"/>
          <w:lang w:val="en-US" w:eastAsia="zh-CN"/>
        </w:rPr>
        <w:t xml:space="preserve">                  </w:t>
      </w:r>
      <w:r>
        <w:rPr>
          <w:rFonts w:ascii="Times New Roman" w:hAnsi="Times New Roman"/>
          <w:color w:val="000000"/>
          <w:sz w:val="28"/>
          <w:szCs w:val="28"/>
          <w:highlight w:val="none"/>
          <w:u w:val="single"/>
        </w:rPr>
        <w:t xml:space="preserve"> </w:t>
      </w:r>
    </w:p>
    <w:p w14:paraId="12A54A8C">
      <w:pPr>
        <w:pageBreakBefore w:val="0"/>
        <w:shd w:val="clear"/>
        <w:kinsoku/>
        <w:overflowPunct/>
        <w:topLinePunct w:val="0"/>
        <w:autoSpaceDE/>
        <w:autoSpaceDN/>
        <w:bidi w:val="0"/>
        <w:adjustRightInd/>
        <w:spacing w:line="560" w:lineRule="exact"/>
        <w:textAlignment w:val="auto"/>
        <w:rPr>
          <w:rFonts w:ascii="Times New Roman" w:hAnsi="Times New Roman"/>
          <w:color w:val="000000"/>
          <w:sz w:val="48"/>
          <w:szCs w:val="48"/>
          <w:highlight w:val="none"/>
          <w:u w:val="single"/>
        </w:rPr>
      </w:pPr>
    </w:p>
    <w:p w14:paraId="7CE122C5">
      <w:pPr>
        <w:pageBreakBefore w:val="0"/>
        <w:shd w:val="clear"/>
        <w:kinsoku/>
        <w:overflowPunct/>
        <w:topLinePunct w:val="0"/>
        <w:autoSpaceDE/>
        <w:autoSpaceDN/>
        <w:bidi w:val="0"/>
        <w:adjustRightInd/>
        <w:spacing w:line="560" w:lineRule="exact"/>
        <w:textAlignment w:val="auto"/>
        <w:rPr>
          <w:rFonts w:ascii="Times New Roman" w:hAnsi="Times New Roman"/>
          <w:color w:val="000000"/>
          <w:sz w:val="48"/>
          <w:szCs w:val="48"/>
          <w:highlight w:val="none"/>
          <w:u w:val="single"/>
        </w:rPr>
      </w:pPr>
    </w:p>
    <w:p w14:paraId="088DCA46">
      <w:pPr>
        <w:pageBreakBefore w:val="0"/>
        <w:shd w:val="clear"/>
        <w:kinsoku/>
        <w:overflowPunct/>
        <w:topLinePunct w:val="0"/>
        <w:autoSpaceDE/>
        <w:autoSpaceDN/>
        <w:bidi w:val="0"/>
        <w:adjustRightInd/>
        <w:spacing w:line="560" w:lineRule="exact"/>
        <w:textAlignment w:val="auto"/>
        <w:rPr>
          <w:rFonts w:ascii="Times New Roman" w:hAnsi="Times New Roman"/>
          <w:color w:val="000000"/>
          <w:sz w:val="48"/>
          <w:szCs w:val="48"/>
          <w:highlight w:val="none"/>
          <w:u w:val="single"/>
        </w:rPr>
      </w:pPr>
    </w:p>
    <w:p w14:paraId="0454DA94">
      <w:pPr>
        <w:pageBreakBefore w:val="0"/>
        <w:shd w:val="clear"/>
        <w:kinsoku/>
        <w:overflowPunct/>
        <w:topLinePunct w:val="0"/>
        <w:autoSpaceDE/>
        <w:autoSpaceDN/>
        <w:bidi w:val="0"/>
        <w:adjustRightInd/>
        <w:spacing w:line="560" w:lineRule="exact"/>
        <w:textAlignment w:val="auto"/>
        <w:rPr>
          <w:rFonts w:ascii="Times New Roman" w:hAnsi="Times New Roman"/>
          <w:color w:val="000000"/>
          <w:sz w:val="48"/>
          <w:szCs w:val="48"/>
          <w:highlight w:val="none"/>
          <w:u w:val="single"/>
        </w:rPr>
      </w:pPr>
    </w:p>
    <w:p w14:paraId="5041CCD3">
      <w:pPr>
        <w:pageBreakBefore w:val="0"/>
        <w:shd w:val="clear"/>
        <w:kinsoku/>
        <w:overflowPunct/>
        <w:topLinePunct w:val="0"/>
        <w:autoSpaceDE/>
        <w:autoSpaceDN/>
        <w:bidi w:val="0"/>
        <w:adjustRightInd/>
        <w:spacing w:line="560" w:lineRule="exact"/>
        <w:textAlignment w:val="auto"/>
        <w:rPr>
          <w:rFonts w:ascii="Times New Roman" w:hAnsi="Times New Roman"/>
          <w:color w:val="000000"/>
          <w:sz w:val="48"/>
          <w:szCs w:val="48"/>
          <w:highlight w:val="none"/>
          <w:u w:val="single"/>
        </w:rPr>
      </w:pPr>
    </w:p>
    <w:p w14:paraId="45F59C69">
      <w:pPr>
        <w:pageBreakBefore w:val="0"/>
        <w:shd w:val="clear"/>
        <w:kinsoku/>
        <w:overflowPunct/>
        <w:topLinePunct w:val="0"/>
        <w:autoSpaceDE/>
        <w:autoSpaceDN/>
        <w:bidi w:val="0"/>
        <w:adjustRightInd/>
        <w:spacing w:line="560" w:lineRule="exact"/>
        <w:jc w:val="center"/>
        <w:textAlignment w:val="auto"/>
        <w:rPr>
          <w:rFonts w:hint="eastAsia" w:ascii="Times New Roman" w:hAnsi="宋体"/>
          <w:b/>
          <w:color w:val="000000"/>
          <w:sz w:val="52"/>
          <w:szCs w:val="52"/>
          <w:highlight w:val="none"/>
          <w:lang w:val="en-US" w:eastAsia="zh-CN"/>
        </w:rPr>
      </w:pPr>
      <w:r>
        <w:rPr>
          <w:rFonts w:hint="eastAsia" w:ascii="Times New Roman" w:hAnsi="宋体"/>
          <w:b/>
          <w:color w:val="000000"/>
          <w:sz w:val="52"/>
          <w:szCs w:val="52"/>
          <w:highlight w:val="none"/>
          <w:lang w:val="en-US" w:eastAsia="zh-CN"/>
        </w:rPr>
        <w:t>统一应用融合门户平台项目</w:t>
      </w:r>
    </w:p>
    <w:p w14:paraId="183E053B">
      <w:pPr>
        <w:pageBreakBefore w:val="0"/>
        <w:shd w:val="clear"/>
        <w:kinsoku/>
        <w:overflowPunct/>
        <w:topLinePunct w:val="0"/>
        <w:autoSpaceDE/>
        <w:autoSpaceDN/>
        <w:bidi w:val="0"/>
        <w:adjustRightInd/>
        <w:spacing w:line="560" w:lineRule="exact"/>
        <w:jc w:val="center"/>
        <w:textAlignment w:val="auto"/>
        <w:rPr>
          <w:rFonts w:ascii="Times New Roman" w:hAnsi="Times New Roman"/>
          <w:b/>
          <w:color w:val="000000"/>
          <w:sz w:val="52"/>
          <w:szCs w:val="52"/>
          <w:highlight w:val="none"/>
        </w:rPr>
      </w:pPr>
      <w:r>
        <w:rPr>
          <w:rFonts w:ascii="Times New Roman" w:hAnsi="宋体"/>
          <w:b/>
          <w:color w:val="000000"/>
          <w:sz w:val="52"/>
          <w:szCs w:val="52"/>
          <w:highlight w:val="none"/>
        </w:rPr>
        <w:t>施工合同</w:t>
      </w:r>
    </w:p>
    <w:p w14:paraId="0AD678FF">
      <w:pPr>
        <w:pageBreakBefore w:val="0"/>
        <w:shd w:val="clear"/>
        <w:kinsoku/>
        <w:overflowPunct/>
        <w:topLinePunct w:val="0"/>
        <w:autoSpaceDE/>
        <w:autoSpaceDN/>
        <w:bidi w:val="0"/>
        <w:adjustRightInd/>
        <w:spacing w:line="560" w:lineRule="exact"/>
        <w:textAlignment w:val="auto"/>
        <w:rPr>
          <w:rFonts w:ascii="Times New Roman" w:hAnsi="Times New Roman"/>
          <w:b/>
          <w:color w:val="000000"/>
          <w:sz w:val="72"/>
          <w:szCs w:val="72"/>
          <w:highlight w:val="none"/>
        </w:rPr>
      </w:pPr>
    </w:p>
    <w:p w14:paraId="4D0A52BC">
      <w:pPr>
        <w:pageBreakBefore w:val="0"/>
        <w:shd w:val="clear"/>
        <w:kinsoku/>
        <w:overflowPunct/>
        <w:topLinePunct w:val="0"/>
        <w:autoSpaceDE/>
        <w:autoSpaceDN/>
        <w:bidi w:val="0"/>
        <w:adjustRightInd/>
        <w:spacing w:line="560" w:lineRule="exact"/>
        <w:textAlignment w:val="auto"/>
        <w:rPr>
          <w:rFonts w:ascii="Times New Roman" w:hAnsi="Times New Roman"/>
          <w:b/>
          <w:color w:val="000000"/>
          <w:sz w:val="72"/>
          <w:szCs w:val="72"/>
          <w:highlight w:val="none"/>
        </w:rPr>
      </w:pPr>
    </w:p>
    <w:p w14:paraId="4D8626E0">
      <w:pPr>
        <w:pageBreakBefore w:val="0"/>
        <w:shd w:val="clear"/>
        <w:kinsoku/>
        <w:overflowPunct/>
        <w:topLinePunct w:val="0"/>
        <w:autoSpaceDE/>
        <w:autoSpaceDN/>
        <w:bidi w:val="0"/>
        <w:adjustRightInd/>
        <w:spacing w:line="560" w:lineRule="exact"/>
        <w:textAlignment w:val="auto"/>
        <w:rPr>
          <w:rFonts w:ascii="Times New Roman" w:hAnsi="宋体"/>
          <w:color w:val="000000"/>
          <w:sz w:val="30"/>
          <w:szCs w:val="30"/>
          <w:highlight w:val="none"/>
        </w:rPr>
      </w:pPr>
    </w:p>
    <w:p w14:paraId="6F0F2B99">
      <w:pPr>
        <w:pageBreakBefore w:val="0"/>
        <w:shd w:val="clear"/>
        <w:kinsoku/>
        <w:overflowPunct/>
        <w:topLinePunct w:val="0"/>
        <w:autoSpaceDE/>
        <w:autoSpaceDN/>
        <w:bidi w:val="0"/>
        <w:adjustRightInd/>
        <w:spacing w:line="560" w:lineRule="exact"/>
        <w:ind w:firstLine="1800" w:firstLineChars="600"/>
        <w:textAlignment w:val="auto"/>
        <w:rPr>
          <w:rFonts w:ascii="Times New Roman" w:hAnsi="宋体"/>
          <w:color w:val="000000"/>
          <w:sz w:val="30"/>
          <w:szCs w:val="30"/>
          <w:highlight w:val="none"/>
        </w:rPr>
      </w:pPr>
    </w:p>
    <w:p w14:paraId="7F05C760">
      <w:pPr>
        <w:pageBreakBefore w:val="0"/>
        <w:shd w:val="clear"/>
        <w:kinsoku/>
        <w:overflowPunct/>
        <w:topLinePunct w:val="0"/>
        <w:autoSpaceDE/>
        <w:autoSpaceDN/>
        <w:bidi w:val="0"/>
        <w:adjustRightInd/>
        <w:spacing w:line="560" w:lineRule="exact"/>
        <w:ind w:firstLine="1800" w:firstLineChars="600"/>
        <w:textAlignment w:val="auto"/>
        <w:rPr>
          <w:rFonts w:ascii="Times New Roman" w:hAnsi="宋体"/>
          <w:color w:val="000000"/>
          <w:sz w:val="30"/>
          <w:szCs w:val="30"/>
          <w:highlight w:val="none"/>
        </w:rPr>
      </w:pPr>
    </w:p>
    <w:p w14:paraId="709DB66B">
      <w:pPr>
        <w:pageBreakBefore w:val="0"/>
        <w:shd w:val="clear"/>
        <w:kinsoku/>
        <w:overflowPunct/>
        <w:topLinePunct w:val="0"/>
        <w:autoSpaceDE/>
        <w:autoSpaceDN/>
        <w:bidi w:val="0"/>
        <w:adjustRightInd/>
        <w:spacing w:line="560" w:lineRule="exact"/>
        <w:ind w:firstLine="1800" w:firstLineChars="600"/>
        <w:textAlignment w:val="auto"/>
        <w:rPr>
          <w:rFonts w:ascii="Times New Roman" w:hAnsi="宋体"/>
          <w:color w:val="000000"/>
          <w:sz w:val="30"/>
          <w:szCs w:val="30"/>
          <w:highlight w:val="none"/>
        </w:rPr>
      </w:pPr>
    </w:p>
    <w:p w14:paraId="3D948B74">
      <w:pPr>
        <w:pageBreakBefore w:val="0"/>
        <w:shd w:val="clear"/>
        <w:kinsoku/>
        <w:overflowPunct/>
        <w:topLinePunct w:val="0"/>
        <w:autoSpaceDE/>
        <w:autoSpaceDN/>
        <w:bidi w:val="0"/>
        <w:adjustRightInd/>
        <w:spacing w:line="560" w:lineRule="exact"/>
        <w:ind w:firstLine="1800" w:firstLineChars="600"/>
        <w:textAlignment w:val="auto"/>
        <w:rPr>
          <w:rFonts w:ascii="Times New Roman" w:hAnsi="宋体"/>
          <w:color w:val="000000"/>
          <w:sz w:val="30"/>
          <w:szCs w:val="30"/>
          <w:highlight w:val="none"/>
        </w:rPr>
      </w:pPr>
    </w:p>
    <w:p w14:paraId="014BE453">
      <w:pPr>
        <w:pageBreakBefore w:val="0"/>
        <w:shd w:val="clear"/>
        <w:kinsoku/>
        <w:overflowPunct/>
        <w:topLinePunct w:val="0"/>
        <w:autoSpaceDE/>
        <w:autoSpaceDN/>
        <w:bidi w:val="0"/>
        <w:adjustRightInd/>
        <w:spacing w:line="560" w:lineRule="exact"/>
        <w:ind w:firstLine="1800" w:firstLineChars="600"/>
        <w:textAlignment w:val="auto"/>
        <w:rPr>
          <w:rFonts w:ascii="Times New Roman" w:hAnsi="宋体"/>
          <w:color w:val="000000"/>
          <w:sz w:val="30"/>
          <w:szCs w:val="30"/>
          <w:highlight w:val="none"/>
        </w:rPr>
      </w:pPr>
    </w:p>
    <w:p w14:paraId="4F255906">
      <w:pPr>
        <w:pageBreakBefore w:val="0"/>
        <w:shd w:val="clear"/>
        <w:kinsoku/>
        <w:overflowPunct/>
        <w:topLinePunct w:val="0"/>
        <w:autoSpaceDE/>
        <w:autoSpaceDN/>
        <w:bidi w:val="0"/>
        <w:adjustRightInd/>
        <w:spacing w:line="560" w:lineRule="exact"/>
        <w:ind w:firstLine="1800" w:firstLineChars="600"/>
        <w:textAlignment w:val="auto"/>
        <w:rPr>
          <w:rFonts w:ascii="Times New Roman" w:hAnsi="宋体"/>
          <w:color w:val="000000"/>
          <w:sz w:val="30"/>
          <w:szCs w:val="30"/>
          <w:highlight w:val="none"/>
        </w:rPr>
      </w:pPr>
    </w:p>
    <w:p w14:paraId="552CDA46">
      <w:pPr>
        <w:pageBreakBefore w:val="0"/>
        <w:shd w:val="clear"/>
        <w:kinsoku/>
        <w:overflowPunct/>
        <w:topLinePunct w:val="0"/>
        <w:autoSpaceDE/>
        <w:autoSpaceDN/>
        <w:bidi w:val="0"/>
        <w:adjustRightInd/>
        <w:spacing w:line="560" w:lineRule="exact"/>
        <w:ind w:firstLine="1800" w:firstLineChars="600"/>
        <w:textAlignment w:val="auto"/>
        <w:rPr>
          <w:rFonts w:ascii="Times New Roman" w:hAnsi="宋体"/>
          <w:color w:val="000000"/>
          <w:sz w:val="30"/>
          <w:szCs w:val="30"/>
          <w:highlight w:val="none"/>
        </w:rPr>
      </w:pPr>
      <w:r>
        <w:rPr>
          <w:rFonts w:ascii="Times New Roman" w:hAnsi="宋体"/>
          <w:color w:val="000000"/>
          <w:sz w:val="30"/>
          <w:szCs w:val="30"/>
          <w:highlight w:val="none"/>
        </w:rPr>
        <w:t>发包人：</w:t>
      </w:r>
      <w:r>
        <w:rPr>
          <w:rFonts w:hint="eastAsia" w:ascii="Times New Roman" w:hAnsi="宋体"/>
          <w:color w:val="000000"/>
          <w:sz w:val="30"/>
          <w:szCs w:val="30"/>
          <w:highlight w:val="none"/>
          <w:u w:val="single"/>
          <w:lang w:val="en-US" w:eastAsia="zh-CN"/>
        </w:rPr>
        <w:t xml:space="preserve">      </w:t>
      </w:r>
      <w:r>
        <w:rPr>
          <w:rFonts w:hint="eastAsia" w:ascii="Times New Roman" w:hAnsi="宋体"/>
          <w:color w:val="000000"/>
          <w:sz w:val="30"/>
          <w:szCs w:val="30"/>
          <w:highlight w:val="none"/>
          <w:u w:val="single"/>
        </w:rPr>
        <w:t>广西警察学院</w:t>
      </w:r>
      <w:r>
        <w:rPr>
          <w:rFonts w:ascii="Times New Roman" w:hAnsi="宋体"/>
          <w:color w:val="000000"/>
          <w:sz w:val="30"/>
          <w:szCs w:val="30"/>
          <w:highlight w:val="none"/>
          <w:u w:val="single"/>
        </w:rPr>
        <w:t xml:space="preserve"> </w:t>
      </w:r>
      <w:r>
        <w:rPr>
          <w:rFonts w:ascii="Times New Roman" w:hAnsi="宋体"/>
          <w:color w:val="000000"/>
          <w:sz w:val="30"/>
          <w:szCs w:val="30"/>
          <w:highlight w:val="none"/>
        </w:rPr>
        <w:t xml:space="preserve">           </w:t>
      </w:r>
    </w:p>
    <w:p w14:paraId="7A47F782">
      <w:pPr>
        <w:pageBreakBefore w:val="0"/>
        <w:shd w:val="clear"/>
        <w:kinsoku/>
        <w:overflowPunct/>
        <w:topLinePunct w:val="0"/>
        <w:autoSpaceDE/>
        <w:autoSpaceDN/>
        <w:bidi w:val="0"/>
        <w:adjustRightInd/>
        <w:spacing w:line="560" w:lineRule="exact"/>
        <w:ind w:firstLine="1800" w:firstLineChars="600"/>
        <w:textAlignment w:val="auto"/>
        <w:rPr>
          <w:rFonts w:ascii="Times New Roman" w:hAnsi="宋体"/>
          <w:color w:val="000000"/>
          <w:sz w:val="30"/>
          <w:szCs w:val="30"/>
          <w:highlight w:val="none"/>
        </w:rPr>
      </w:pPr>
      <w:r>
        <w:rPr>
          <w:rFonts w:ascii="Times New Roman" w:hAnsi="宋体"/>
          <w:color w:val="000000"/>
          <w:sz w:val="30"/>
          <w:szCs w:val="30"/>
          <w:highlight w:val="none"/>
        </w:rPr>
        <w:t>承包人：</w:t>
      </w:r>
      <w:r>
        <w:rPr>
          <w:rFonts w:hint="eastAsia" w:ascii="Times New Roman" w:hAnsi="宋体"/>
          <w:color w:val="000000"/>
          <w:sz w:val="30"/>
          <w:szCs w:val="30"/>
          <w:highlight w:val="none"/>
          <w:u w:val="single"/>
          <w:lang w:val="en-US" w:eastAsia="zh-CN"/>
        </w:rPr>
        <w:t xml:space="preserve">             </w:t>
      </w:r>
      <w:r>
        <w:rPr>
          <w:rFonts w:ascii="Times New Roman" w:hAnsi="宋体"/>
          <w:color w:val="000000"/>
          <w:sz w:val="30"/>
          <w:szCs w:val="30"/>
          <w:highlight w:val="none"/>
          <w:u w:val="single"/>
        </w:rPr>
        <w:t xml:space="preserve">        </w:t>
      </w:r>
      <w:r>
        <w:rPr>
          <w:rFonts w:ascii="Times New Roman" w:hAnsi="宋体"/>
          <w:color w:val="000000"/>
          <w:sz w:val="30"/>
          <w:szCs w:val="30"/>
          <w:highlight w:val="none"/>
        </w:rPr>
        <w:t xml:space="preserve">           </w:t>
      </w:r>
    </w:p>
    <w:p w14:paraId="1152ABB7">
      <w:pPr>
        <w:pageBreakBefore w:val="0"/>
        <w:shd w:val="clear"/>
        <w:kinsoku/>
        <w:overflowPunct/>
        <w:topLinePunct w:val="0"/>
        <w:autoSpaceDE/>
        <w:autoSpaceDN/>
        <w:bidi w:val="0"/>
        <w:adjustRightInd/>
        <w:spacing w:line="560" w:lineRule="exact"/>
        <w:ind w:firstLine="1800" w:firstLineChars="600"/>
        <w:textAlignment w:val="auto"/>
        <w:rPr>
          <w:rFonts w:ascii="Times New Roman" w:hAnsi="Times New Roman"/>
          <w:color w:val="000000"/>
          <w:sz w:val="30"/>
          <w:szCs w:val="30"/>
          <w:highlight w:val="none"/>
        </w:rPr>
      </w:pPr>
      <w:r>
        <w:rPr>
          <w:rFonts w:ascii="Times New Roman" w:hAnsi="宋体"/>
          <w:color w:val="000000"/>
          <w:sz w:val="30"/>
          <w:szCs w:val="30"/>
          <w:highlight w:val="none"/>
        </w:rPr>
        <w:t>签订地点：</w:t>
      </w:r>
      <w:r>
        <w:rPr>
          <w:rFonts w:ascii="Times New Roman" w:hAnsi="Times New Roman"/>
          <w:color w:val="000000"/>
          <w:sz w:val="30"/>
          <w:szCs w:val="30"/>
          <w:highlight w:val="none"/>
          <w:u w:val="single"/>
        </w:rPr>
        <w:t xml:space="preserve"> </w:t>
      </w:r>
      <w:r>
        <w:rPr>
          <w:rFonts w:ascii="Times New Roman" w:hAnsi="宋体"/>
          <w:color w:val="000000"/>
          <w:sz w:val="30"/>
          <w:szCs w:val="30"/>
          <w:highlight w:val="none"/>
          <w:u w:val="single"/>
        </w:rPr>
        <w:t>南宁市军堂路</w:t>
      </w:r>
      <w:r>
        <w:rPr>
          <w:rFonts w:ascii="Times New Roman" w:hAnsi="Times New Roman"/>
          <w:color w:val="000000"/>
          <w:sz w:val="30"/>
          <w:szCs w:val="30"/>
          <w:highlight w:val="none"/>
          <w:u w:val="single"/>
        </w:rPr>
        <w:t>6</w:t>
      </w:r>
      <w:r>
        <w:rPr>
          <w:rFonts w:ascii="Times New Roman" w:hAnsi="宋体"/>
          <w:color w:val="000000"/>
          <w:sz w:val="30"/>
          <w:szCs w:val="30"/>
          <w:highlight w:val="none"/>
          <w:u w:val="single"/>
        </w:rPr>
        <w:t>号</w:t>
      </w:r>
      <w:r>
        <w:rPr>
          <w:rFonts w:ascii="Times New Roman" w:hAnsi="Times New Roman"/>
          <w:color w:val="000000"/>
          <w:sz w:val="30"/>
          <w:szCs w:val="30"/>
          <w:highlight w:val="none"/>
          <w:u w:val="single"/>
        </w:rPr>
        <w:t xml:space="preserve">  </w:t>
      </w:r>
      <w:r>
        <w:rPr>
          <w:rFonts w:ascii="Times New Roman" w:hAnsi="Times New Roman"/>
          <w:color w:val="000000"/>
          <w:sz w:val="30"/>
          <w:szCs w:val="30"/>
          <w:highlight w:val="none"/>
        </w:rPr>
        <w:t xml:space="preserve">              </w:t>
      </w:r>
    </w:p>
    <w:p w14:paraId="3F325022">
      <w:pPr>
        <w:pageBreakBefore w:val="0"/>
        <w:shd w:val="clear"/>
        <w:kinsoku/>
        <w:overflowPunct/>
        <w:topLinePunct w:val="0"/>
        <w:autoSpaceDE/>
        <w:autoSpaceDN/>
        <w:bidi w:val="0"/>
        <w:adjustRightInd/>
        <w:spacing w:line="560" w:lineRule="exact"/>
        <w:ind w:firstLine="1800" w:firstLineChars="600"/>
        <w:textAlignment w:val="auto"/>
        <w:rPr>
          <w:rFonts w:ascii="Times New Roman" w:hAnsi="Times New Roman"/>
          <w:color w:val="000000"/>
          <w:sz w:val="30"/>
          <w:szCs w:val="30"/>
          <w:highlight w:val="none"/>
        </w:rPr>
      </w:pPr>
      <w:r>
        <w:rPr>
          <w:rFonts w:ascii="Times New Roman" w:hAnsi="宋体"/>
          <w:color w:val="000000"/>
          <w:sz w:val="30"/>
          <w:szCs w:val="30"/>
          <w:highlight w:val="none"/>
        </w:rPr>
        <w:t>签订时间：</w:t>
      </w:r>
      <w:r>
        <w:rPr>
          <w:rFonts w:ascii="Times New Roman" w:hAnsi="Times New Roman"/>
          <w:color w:val="000000"/>
          <w:sz w:val="30"/>
          <w:szCs w:val="30"/>
          <w:highlight w:val="none"/>
          <w:u w:val="single"/>
        </w:rPr>
        <w:t xml:space="preserve"> </w:t>
      </w:r>
      <w:r>
        <w:rPr>
          <w:rFonts w:hint="eastAsia" w:ascii="Times New Roman" w:hAnsi="Times New Roman"/>
          <w:color w:val="000000"/>
          <w:sz w:val="30"/>
          <w:szCs w:val="30"/>
          <w:highlight w:val="none"/>
          <w:u w:val="single"/>
          <w:lang w:val="en-US" w:eastAsia="zh-CN"/>
        </w:rPr>
        <w:t>2025</w:t>
      </w:r>
      <w:r>
        <w:rPr>
          <w:rFonts w:ascii="Times New Roman" w:hAnsi="Times New Roman"/>
          <w:color w:val="000000"/>
          <w:sz w:val="30"/>
          <w:szCs w:val="30"/>
          <w:highlight w:val="none"/>
          <w:u w:val="single"/>
        </w:rPr>
        <w:t xml:space="preserve"> </w:t>
      </w:r>
      <w:r>
        <w:rPr>
          <w:rFonts w:ascii="Times New Roman" w:hAnsi="宋体"/>
          <w:color w:val="000000"/>
          <w:sz w:val="30"/>
          <w:szCs w:val="30"/>
          <w:highlight w:val="none"/>
        </w:rPr>
        <w:t>年</w:t>
      </w:r>
      <w:r>
        <w:rPr>
          <w:rFonts w:ascii="Times New Roman" w:hAnsi="Times New Roman"/>
          <w:color w:val="000000"/>
          <w:sz w:val="30"/>
          <w:szCs w:val="30"/>
          <w:highlight w:val="none"/>
          <w:u w:val="single"/>
        </w:rPr>
        <w:t xml:space="preserve">   </w:t>
      </w:r>
      <w:r>
        <w:rPr>
          <w:rFonts w:ascii="Times New Roman" w:hAnsi="宋体"/>
          <w:color w:val="000000"/>
          <w:sz w:val="30"/>
          <w:szCs w:val="30"/>
          <w:highlight w:val="none"/>
        </w:rPr>
        <w:t>月</w:t>
      </w:r>
      <w:r>
        <w:rPr>
          <w:rFonts w:ascii="Times New Roman" w:hAnsi="Times New Roman"/>
          <w:color w:val="000000"/>
          <w:sz w:val="30"/>
          <w:szCs w:val="30"/>
          <w:highlight w:val="none"/>
          <w:u w:val="single"/>
        </w:rPr>
        <w:t xml:space="preserve">    </w:t>
      </w:r>
      <w:r>
        <w:rPr>
          <w:rFonts w:ascii="Times New Roman" w:hAnsi="宋体"/>
          <w:color w:val="000000"/>
          <w:sz w:val="30"/>
          <w:szCs w:val="30"/>
          <w:highlight w:val="none"/>
        </w:rPr>
        <w:t>日</w:t>
      </w:r>
    </w:p>
    <w:p w14:paraId="1DD4E62B">
      <w:pPr>
        <w:pageBreakBefore w:val="0"/>
        <w:shd w:val="clear"/>
        <w:kinsoku/>
        <w:overflowPunct/>
        <w:topLinePunct w:val="0"/>
        <w:autoSpaceDE/>
        <w:autoSpaceDN/>
        <w:bidi w:val="0"/>
        <w:adjustRightInd/>
        <w:spacing w:line="560" w:lineRule="exact"/>
        <w:textAlignment w:val="auto"/>
        <w:rPr>
          <w:rFonts w:ascii="Times New Roman" w:hAnsi="Times New Roman"/>
          <w:color w:val="000000"/>
          <w:sz w:val="30"/>
          <w:szCs w:val="30"/>
          <w:highlight w:val="none"/>
        </w:rPr>
      </w:pPr>
    </w:p>
    <w:p w14:paraId="1726E1B9">
      <w:pPr>
        <w:pageBreakBefore w:val="0"/>
        <w:shd w:val="clear"/>
        <w:kinsoku/>
        <w:overflowPunct/>
        <w:topLinePunct w:val="0"/>
        <w:autoSpaceDE/>
        <w:autoSpaceDN/>
        <w:bidi w:val="0"/>
        <w:adjustRightInd/>
        <w:spacing w:line="560" w:lineRule="exact"/>
        <w:textAlignment w:val="auto"/>
        <w:rPr>
          <w:rFonts w:ascii="Times New Roman" w:hAnsi="Times New Roman"/>
          <w:color w:val="000000"/>
          <w:sz w:val="30"/>
          <w:szCs w:val="30"/>
          <w:highlight w:val="none"/>
        </w:rPr>
      </w:pPr>
    </w:p>
    <w:p w14:paraId="1C39CEA4">
      <w:pPr>
        <w:pageBreakBefore w:val="0"/>
        <w:kinsoku/>
        <w:overflowPunct/>
        <w:topLinePunct w:val="0"/>
        <w:autoSpaceDE/>
        <w:autoSpaceDN/>
        <w:bidi w:val="0"/>
        <w:adjustRightInd/>
        <w:snapToGrid w:val="0"/>
        <w:spacing w:line="560" w:lineRule="exact"/>
        <w:ind w:firstLine="420" w:firstLineChars="200"/>
        <w:jc w:val="left"/>
        <w:textAlignment w:val="auto"/>
        <w:rPr>
          <w:rFonts w:ascii="宋体" w:hAnsi="宋体"/>
          <w:szCs w:val="21"/>
        </w:rPr>
      </w:pPr>
      <w:r>
        <w:rPr>
          <w:rFonts w:hint="eastAsia" w:ascii="宋体" w:hAnsi="宋体"/>
          <w:szCs w:val="21"/>
        </w:rPr>
        <w:t>根据《中华人民共和国政府采购法》、《中华人民共和国民法典》等法律、法规规定，按照招投标文件（采购文件）规定条款和中标人承诺，甲乙双方签订本合同。</w:t>
      </w:r>
    </w:p>
    <w:p w14:paraId="4D3FCCB0">
      <w:pPr>
        <w:pageBreakBefore w:val="0"/>
        <w:kinsoku/>
        <w:overflowPunct/>
        <w:topLinePunct w:val="0"/>
        <w:autoSpaceDE/>
        <w:autoSpaceDN/>
        <w:bidi w:val="0"/>
        <w:adjustRightInd/>
        <w:snapToGrid w:val="0"/>
        <w:spacing w:line="560" w:lineRule="exact"/>
        <w:ind w:firstLine="422" w:firstLineChars="200"/>
        <w:textAlignment w:val="auto"/>
        <w:rPr>
          <w:rFonts w:ascii="宋体" w:hAnsi="宋体"/>
          <w:b/>
          <w:szCs w:val="21"/>
        </w:rPr>
      </w:pPr>
      <w:r>
        <w:rPr>
          <w:rFonts w:hint="eastAsia" w:ascii="宋体" w:hAnsi="宋体"/>
          <w:b/>
          <w:szCs w:val="21"/>
        </w:rPr>
        <w:t>第一条、合同标的</w:t>
      </w:r>
    </w:p>
    <w:p w14:paraId="19AF9B3C">
      <w:pPr>
        <w:pageBreakBefore w:val="0"/>
        <w:kinsoku/>
        <w:overflowPunct/>
        <w:topLinePunct w:val="0"/>
        <w:autoSpaceDE/>
        <w:autoSpaceDN/>
        <w:bidi w:val="0"/>
        <w:adjustRightInd/>
        <w:snapToGrid w:val="0"/>
        <w:spacing w:line="560" w:lineRule="exact"/>
        <w:ind w:firstLine="420" w:firstLineChars="200"/>
        <w:textAlignment w:val="auto"/>
        <w:rPr>
          <w:rFonts w:ascii="宋体" w:hAnsi="宋体"/>
          <w:szCs w:val="21"/>
        </w:rPr>
      </w:pPr>
      <w:r>
        <w:rPr>
          <w:rFonts w:hint="eastAsia" w:ascii="宋体" w:hAnsi="宋体"/>
          <w:szCs w:val="21"/>
        </w:rPr>
        <w:t>1、服务一览</w:t>
      </w:r>
    </w:p>
    <w:p w14:paraId="638142EA">
      <w:pPr>
        <w:pageBreakBefore w:val="0"/>
        <w:tabs>
          <w:tab w:val="left" w:pos="559"/>
        </w:tabs>
        <w:kinsoku/>
        <w:overflowPunct/>
        <w:topLinePunct w:val="0"/>
        <w:autoSpaceDE/>
        <w:autoSpaceDN/>
        <w:bidi w:val="0"/>
        <w:adjustRightInd/>
        <w:snapToGrid w:val="0"/>
        <w:spacing w:line="560" w:lineRule="exact"/>
        <w:ind w:firstLine="420" w:firstLineChars="200"/>
        <w:jc w:val="left"/>
        <w:textAlignment w:val="auto"/>
        <w:rPr>
          <w:rFonts w:hint="eastAsia" w:ascii="宋体" w:hAnsi="宋体"/>
          <w:szCs w:val="21"/>
        </w:rPr>
      </w:pPr>
      <w:r>
        <w:rPr>
          <w:rFonts w:hint="eastAsia" w:ascii="宋体" w:hAnsi="宋体"/>
          <w:szCs w:val="21"/>
        </w:rPr>
        <w:t>服务内容（名称及数量）如下表：</w:t>
      </w:r>
    </w:p>
    <w:tbl>
      <w:tblPr>
        <w:tblStyle w:val="1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60"/>
        <w:gridCol w:w="851"/>
        <w:gridCol w:w="1276"/>
        <w:gridCol w:w="1275"/>
        <w:gridCol w:w="993"/>
      </w:tblGrid>
      <w:tr w14:paraId="7F4B5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7F4BC01">
            <w:pPr>
              <w:pageBreakBefore w:val="0"/>
              <w:tabs>
                <w:tab w:val="left" w:pos="559"/>
              </w:tabs>
              <w:kinsoku/>
              <w:overflowPunct/>
              <w:topLinePunct w:val="0"/>
              <w:autoSpaceDE/>
              <w:autoSpaceDN/>
              <w:bidi w:val="0"/>
              <w:adjustRightInd/>
              <w:snapToGrid w:val="0"/>
              <w:spacing w:line="560" w:lineRule="exact"/>
              <w:jc w:val="center"/>
              <w:textAlignment w:val="auto"/>
              <w:rPr>
                <w:rFonts w:hint="eastAsia" w:ascii="宋体" w:hAnsi="宋体"/>
                <w:b/>
                <w:color w:val="000000"/>
                <w:szCs w:val="21"/>
              </w:rPr>
            </w:pPr>
            <w:r>
              <w:rPr>
                <w:rFonts w:hint="eastAsia" w:ascii="宋体" w:hAnsi="宋体"/>
                <w:b/>
                <w:color w:val="000000"/>
                <w:szCs w:val="21"/>
              </w:rPr>
              <w:t>序号</w:t>
            </w:r>
          </w:p>
        </w:tc>
        <w:tc>
          <w:tcPr>
            <w:tcW w:w="3260" w:type="dxa"/>
            <w:vAlign w:val="center"/>
          </w:tcPr>
          <w:p w14:paraId="0D26E036">
            <w:pPr>
              <w:pageBreakBefore w:val="0"/>
              <w:tabs>
                <w:tab w:val="left" w:pos="559"/>
              </w:tabs>
              <w:kinsoku/>
              <w:overflowPunct/>
              <w:topLinePunct w:val="0"/>
              <w:autoSpaceDE/>
              <w:autoSpaceDN/>
              <w:bidi w:val="0"/>
              <w:adjustRightInd/>
              <w:snapToGrid w:val="0"/>
              <w:spacing w:line="560" w:lineRule="exact"/>
              <w:jc w:val="center"/>
              <w:textAlignment w:val="auto"/>
              <w:rPr>
                <w:rFonts w:hint="eastAsia" w:ascii="宋体" w:hAnsi="宋体"/>
                <w:b/>
                <w:color w:val="000000"/>
                <w:szCs w:val="21"/>
              </w:rPr>
            </w:pPr>
            <w:r>
              <w:rPr>
                <w:rFonts w:hint="eastAsia" w:ascii="宋体" w:hAnsi="宋体"/>
                <w:b/>
                <w:color w:val="000000"/>
                <w:szCs w:val="21"/>
              </w:rPr>
              <w:t>采购服务内容</w:t>
            </w:r>
          </w:p>
        </w:tc>
        <w:tc>
          <w:tcPr>
            <w:tcW w:w="851" w:type="dxa"/>
            <w:vAlign w:val="center"/>
          </w:tcPr>
          <w:p w14:paraId="16895163">
            <w:pPr>
              <w:pageBreakBefore w:val="0"/>
              <w:tabs>
                <w:tab w:val="left" w:pos="559"/>
              </w:tabs>
              <w:kinsoku/>
              <w:overflowPunct/>
              <w:topLinePunct w:val="0"/>
              <w:autoSpaceDE/>
              <w:autoSpaceDN/>
              <w:bidi w:val="0"/>
              <w:adjustRightInd/>
              <w:snapToGrid w:val="0"/>
              <w:spacing w:line="560" w:lineRule="exact"/>
              <w:jc w:val="center"/>
              <w:textAlignment w:val="auto"/>
              <w:rPr>
                <w:rFonts w:hint="eastAsia" w:ascii="宋体" w:hAnsi="宋体"/>
                <w:b/>
                <w:color w:val="000000"/>
                <w:szCs w:val="21"/>
              </w:rPr>
            </w:pPr>
            <w:r>
              <w:rPr>
                <w:rFonts w:hint="eastAsia" w:ascii="宋体" w:hAnsi="宋体"/>
                <w:b/>
                <w:color w:val="000000"/>
                <w:szCs w:val="21"/>
              </w:rPr>
              <w:t>数量及单位</w:t>
            </w:r>
          </w:p>
        </w:tc>
        <w:tc>
          <w:tcPr>
            <w:tcW w:w="1276" w:type="dxa"/>
            <w:vAlign w:val="center"/>
          </w:tcPr>
          <w:p w14:paraId="77C3032C">
            <w:pPr>
              <w:pageBreakBefore w:val="0"/>
              <w:tabs>
                <w:tab w:val="left" w:pos="559"/>
              </w:tabs>
              <w:kinsoku/>
              <w:overflowPunct/>
              <w:topLinePunct w:val="0"/>
              <w:autoSpaceDE/>
              <w:autoSpaceDN/>
              <w:bidi w:val="0"/>
              <w:adjustRightInd/>
              <w:snapToGrid w:val="0"/>
              <w:spacing w:line="560" w:lineRule="exact"/>
              <w:jc w:val="center"/>
              <w:textAlignment w:val="auto"/>
              <w:rPr>
                <w:rFonts w:hint="eastAsia" w:ascii="宋体" w:hAnsi="宋体"/>
                <w:b/>
                <w:color w:val="000000"/>
                <w:szCs w:val="21"/>
              </w:rPr>
            </w:pPr>
            <w:r>
              <w:rPr>
                <w:rFonts w:hint="eastAsia" w:ascii="宋体" w:hAnsi="宋体"/>
                <w:b/>
                <w:color w:val="000000"/>
                <w:szCs w:val="21"/>
              </w:rPr>
              <w:t>单价</w:t>
            </w:r>
          </w:p>
        </w:tc>
        <w:tc>
          <w:tcPr>
            <w:tcW w:w="1275" w:type="dxa"/>
            <w:vAlign w:val="center"/>
          </w:tcPr>
          <w:p w14:paraId="59FE30D0">
            <w:pPr>
              <w:pageBreakBefore w:val="0"/>
              <w:tabs>
                <w:tab w:val="left" w:pos="559"/>
              </w:tabs>
              <w:kinsoku/>
              <w:overflowPunct/>
              <w:topLinePunct w:val="0"/>
              <w:autoSpaceDE/>
              <w:autoSpaceDN/>
              <w:bidi w:val="0"/>
              <w:adjustRightInd/>
              <w:snapToGrid w:val="0"/>
              <w:spacing w:line="560" w:lineRule="exact"/>
              <w:jc w:val="center"/>
              <w:textAlignment w:val="auto"/>
              <w:rPr>
                <w:rFonts w:hint="eastAsia" w:ascii="宋体" w:hAnsi="宋体"/>
                <w:b/>
                <w:color w:val="000000"/>
                <w:szCs w:val="21"/>
              </w:rPr>
            </w:pPr>
            <w:r>
              <w:rPr>
                <w:rFonts w:hint="eastAsia" w:ascii="宋体" w:hAnsi="宋体"/>
                <w:b/>
                <w:color w:val="000000"/>
                <w:szCs w:val="21"/>
              </w:rPr>
              <w:t>总价</w:t>
            </w:r>
          </w:p>
        </w:tc>
        <w:tc>
          <w:tcPr>
            <w:tcW w:w="993" w:type="dxa"/>
            <w:vAlign w:val="center"/>
          </w:tcPr>
          <w:p w14:paraId="227C96D0">
            <w:pPr>
              <w:pageBreakBefore w:val="0"/>
              <w:tabs>
                <w:tab w:val="left" w:pos="559"/>
              </w:tabs>
              <w:kinsoku/>
              <w:overflowPunct/>
              <w:topLinePunct w:val="0"/>
              <w:autoSpaceDE/>
              <w:autoSpaceDN/>
              <w:bidi w:val="0"/>
              <w:adjustRightInd/>
              <w:snapToGrid w:val="0"/>
              <w:spacing w:line="560" w:lineRule="exact"/>
              <w:jc w:val="center"/>
              <w:textAlignment w:val="auto"/>
              <w:rPr>
                <w:rFonts w:hint="eastAsia" w:ascii="宋体" w:hAnsi="宋体"/>
                <w:b/>
                <w:color w:val="000000"/>
                <w:szCs w:val="21"/>
              </w:rPr>
            </w:pPr>
            <w:r>
              <w:rPr>
                <w:rFonts w:hint="eastAsia" w:ascii="宋体" w:hAnsi="宋体"/>
                <w:b/>
                <w:color w:val="000000"/>
                <w:szCs w:val="21"/>
              </w:rPr>
              <w:t>备注</w:t>
            </w:r>
          </w:p>
        </w:tc>
      </w:tr>
      <w:tr w14:paraId="2475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F0E808D">
            <w:pPr>
              <w:pageBreakBefore w:val="0"/>
              <w:tabs>
                <w:tab w:val="left" w:pos="559"/>
              </w:tabs>
              <w:kinsoku/>
              <w:overflowPunct/>
              <w:topLinePunct w:val="0"/>
              <w:autoSpaceDE/>
              <w:autoSpaceDN/>
              <w:bidi w:val="0"/>
              <w:adjustRightInd/>
              <w:snapToGrid w:val="0"/>
              <w:spacing w:line="560" w:lineRule="exact"/>
              <w:jc w:val="center"/>
              <w:textAlignment w:val="auto"/>
              <w:rPr>
                <w:rFonts w:hint="eastAsia" w:ascii="宋体" w:hAnsi="宋体"/>
                <w:color w:val="000000"/>
                <w:szCs w:val="21"/>
              </w:rPr>
            </w:pPr>
            <w:r>
              <w:rPr>
                <w:rFonts w:hint="eastAsia" w:ascii="宋体" w:hAnsi="宋体"/>
                <w:color w:val="000000"/>
                <w:szCs w:val="21"/>
              </w:rPr>
              <w:t>1</w:t>
            </w:r>
          </w:p>
        </w:tc>
        <w:tc>
          <w:tcPr>
            <w:tcW w:w="3260" w:type="dxa"/>
            <w:vAlign w:val="center"/>
          </w:tcPr>
          <w:p w14:paraId="5158CCEC">
            <w:pPr>
              <w:pageBreakBefore w:val="0"/>
              <w:tabs>
                <w:tab w:val="left" w:pos="559"/>
              </w:tabs>
              <w:kinsoku/>
              <w:overflowPunct/>
              <w:topLinePunct w:val="0"/>
              <w:autoSpaceDE/>
              <w:autoSpaceDN/>
              <w:bidi w:val="0"/>
              <w:adjustRightInd/>
              <w:snapToGrid w:val="0"/>
              <w:spacing w:line="560" w:lineRule="exact"/>
              <w:jc w:val="left"/>
              <w:textAlignment w:val="auto"/>
              <w:rPr>
                <w:rFonts w:hint="eastAsia" w:ascii="宋体" w:hAnsi="宋体"/>
                <w:color w:val="000000"/>
                <w:szCs w:val="21"/>
              </w:rPr>
            </w:pPr>
          </w:p>
        </w:tc>
        <w:tc>
          <w:tcPr>
            <w:tcW w:w="851" w:type="dxa"/>
            <w:vAlign w:val="center"/>
          </w:tcPr>
          <w:p w14:paraId="6F1CAA31">
            <w:pPr>
              <w:pageBreakBefore w:val="0"/>
              <w:tabs>
                <w:tab w:val="left" w:pos="559"/>
              </w:tabs>
              <w:kinsoku/>
              <w:overflowPunct/>
              <w:topLinePunct w:val="0"/>
              <w:autoSpaceDE/>
              <w:autoSpaceDN/>
              <w:bidi w:val="0"/>
              <w:adjustRightInd/>
              <w:snapToGrid w:val="0"/>
              <w:spacing w:line="560" w:lineRule="exact"/>
              <w:jc w:val="center"/>
              <w:textAlignment w:val="auto"/>
              <w:rPr>
                <w:rFonts w:hint="eastAsia" w:ascii="宋体" w:hAnsi="宋体"/>
                <w:color w:val="000000"/>
                <w:szCs w:val="21"/>
              </w:rPr>
            </w:pPr>
            <w:r>
              <w:rPr>
                <w:rFonts w:hint="eastAsia" w:ascii="宋体" w:hAnsi="宋体"/>
                <w:color w:val="000000"/>
                <w:szCs w:val="21"/>
              </w:rPr>
              <w:t>1项</w:t>
            </w:r>
          </w:p>
        </w:tc>
        <w:tc>
          <w:tcPr>
            <w:tcW w:w="1276" w:type="dxa"/>
            <w:vAlign w:val="center"/>
          </w:tcPr>
          <w:p w14:paraId="1D6659F3">
            <w:pPr>
              <w:pageBreakBefore w:val="0"/>
              <w:tabs>
                <w:tab w:val="left" w:pos="559"/>
              </w:tabs>
              <w:kinsoku/>
              <w:overflowPunct/>
              <w:topLinePunct w:val="0"/>
              <w:autoSpaceDE/>
              <w:autoSpaceDN/>
              <w:bidi w:val="0"/>
              <w:adjustRightInd/>
              <w:snapToGrid w:val="0"/>
              <w:spacing w:line="560" w:lineRule="exact"/>
              <w:jc w:val="center"/>
              <w:textAlignment w:val="auto"/>
              <w:rPr>
                <w:rFonts w:hint="eastAsia" w:ascii="宋体" w:hAnsi="宋体"/>
                <w:color w:val="000000"/>
                <w:szCs w:val="21"/>
              </w:rPr>
            </w:pPr>
            <w:r>
              <w:rPr>
                <w:rFonts w:ascii="宋体" w:hAnsi="宋体"/>
              </w:rPr>
              <w:t>0.00</w:t>
            </w:r>
          </w:p>
        </w:tc>
        <w:tc>
          <w:tcPr>
            <w:tcW w:w="1275" w:type="dxa"/>
            <w:vAlign w:val="center"/>
          </w:tcPr>
          <w:p w14:paraId="6852427E">
            <w:pPr>
              <w:pageBreakBefore w:val="0"/>
              <w:tabs>
                <w:tab w:val="left" w:pos="559"/>
              </w:tabs>
              <w:kinsoku/>
              <w:overflowPunct/>
              <w:topLinePunct w:val="0"/>
              <w:autoSpaceDE/>
              <w:autoSpaceDN/>
              <w:bidi w:val="0"/>
              <w:adjustRightInd/>
              <w:snapToGrid w:val="0"/>
              <w:spacing w:line="560" w:lineRule="exact"/>
              <w:jc w:val="center"/>
              <w:textAlignment w:val="auto"/>
              <w:rPr>
                <w:rFonts w:hint="eastAsia" w:ascii="宋体" w:hAnsi="宋体"/>
                <w:color w:val="000000"/>
                <w:szCs w:val="21"/>
              </w:rPr>
            </w:pPr>
            <w:r>
              <w:rPr>
                <w:rFonts w:ascii="宋体" w:hAnsi="宋体"/>
              </w:rPr>
              <w:t>0.00</w:t>
            </w:r>
          </w:p>
        </w:tc>
        <w:tc>
          <w:tcPr>
            <w:tcW w:w="993" w:type="dxa"/>
            <w:vAlign w:val="center"/>
          </w:tcPr>
          <w:p w14:paraId="34A7A606">
            <w:pPr>
              <w:pageBreakBefore w:val="0"/>
              <w:tabs>
                <w:tab w:val="left" w:pos="559"/>
              </w:tabs>
              <w:kinsoku/>
              <w:overflowPunct/>
              <w:topLinePunct w:val="0"/>
              <w:autoSpaceDE/>
              <w:autoSpaceDN/>
              <w:bidi w:val="0"/>
              <w:adjustRightInd/>
              <w:snapToGrid w:val="0"/>
              <w:spacing w:line="560" w:lineRule="exact"/>
              <w:jc w:val="center"/>
              <w:textAlignment w:val="auto"/>
              <w:rPr>
                <w:rFonts w:hint="eastAsia" w:ascii="宋体" w:hAnsi="宋体"/>
                <w:color w:val="000000"/>
                <w:szCs w:val="21"/>
              </w:rPr>
            </w:pPr>
            <w:r>
              <w:rPr>
                <w:rFonts w:hint="eastAsia" w:ascii="宋体" w:hAnsi="宋体"/>
                <w:color w:val="000000"/>
                <w:szCs w:val="21"/>
              </w:rPr>
              <w:t>/</w:t>
            </w:r>
          </w:p>
        </w:tc>
      </w:tr>
      <w:tr w14:paraId="5733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34F55FF">
            <w:pPr>
              <w:pageBreakBefore w:val="0"/>
              <w:tabs>
                <w:tab w:val="left" w:pos="559"/>
              </w:tabs>
              <w:kinsoku/>
              <w:overflowPunct/>
              <w:topLinePunct w:val="0"/>
              <w:autoSpaceDE/>
              <w:autoSpaceDN/>
              <w:bidi w:val="0"/>
              <w:adjustRightInd/>
              <w:snapToGrid w:val="0"/>
              <w:spacing w:line="560" w:lineRule="exact"/>
              <w:jc w:val="center"/>
              <w:textAlignment w:val="auto"/>
              <w:rPr>
                <w:rFonts w:hint="eastAsia" w:ascii="宋体" w:hAnsi="宋体"/>
                <w:color w:val="000000"/>
                <w:szCs w:val="21"/>
              </w:rPr>
            </w:pPr>
            <w:r>
              <w:rPr>
                <w:rFonts w:hint="eastAsia" w:ascii="宋体" w:hAnsi="宋体"/>
                <w:color w:val="000000"/>
                <w:szCs w:val="21"/>
              </w:rPr>
              <w:t>2</w:t>
            </w:r>
          </w:p>
        </w:tc>
        <w:tc>
          <w:tcPr>
            <w:tcW w:w="3260" w:type="dxa"/>
            <w:vAlign w:val="center"/>
          </w:tcPr>
          <w:p w14:paraId="249D2E7F">
            <w:pPr>
              <w:pageBreakBefore w:val="0"/>
              <w:tabs>
                <w:tab w:val="left" w:pos="559"/>
              </w:tabs>
              <w:kinsoku/>
              <w:overflowPunct/>
              <w:topLinePunct w:val="0"/>
              <w:autoSpaceDE/>
              <w:autoSpaceDN/>
              <w:bidi w:val="0"/>
              <w:adjustRightInd/>
              <w:snapToGrid w:val="0"/>
              <w:spacing w:line="560" w:lineRule="exact"/>
              <w:jc w:val="left"/>
              <w:textAlignment w:val="auto"/>
              <w:rPr>
                <w:rFonts w:hint="eastAsia" w:ascii="宋体" w:hAnsi="宋体"/>
                <w:bCs/>
                <w:color w:val="000000"/>
                <w:szCs w:val="21"/>
              </w:rPr>
            </w:pPr>
          </w:p>
        </w:tc>
        <w:tc>
          <w:tcPr>
            <w:tcW w:w="851" w:type="dxa"/>
            <w:vAlign w:val="center"/>
          </w:tcPr>
          <w:p w14:paraId="785DD503">
            <w:pPr>
              <w:pageBreakBefore w:val="0"/>
              <w:kinsoku/>
              <w:overflowPunct/>
              <w:topLinePunct w:val="0"/>
              <w:autoSpaceDE/>
              <w:autoSpaceDN/>
              <w:bidi w:val="0"/>
              <w:adjustRightInd/>
              <w:spacing w:line="560" w:lineRule="exact"/>
              <w:jc w:val="center"/>
              <w:textAlignment w:val="auto"/>
            </w:pPr>
            <w:r>
              <w:rPr>
                <w:rFonts w:hint="eastAsia" w:ascii="宋体" w:hAnsi="宋体"/>
                <w:color w:val="000000"/>
                <w:szCs w:val="21"/>
              </w:rPr>
              <w:t>1项</w:t>
            </w:r>
          </w:p>
        </w:tc>
        <w:tc>
          <w:tcPr>
            <w:tcW w:w="1276" w:type="dxa"/>
            <w:vAlign w:val="center"/>
          </w:tcPr>
          <w:p w14:paraId="37DDE20C">
            <w:pPr>
              <w:pageBreakBefore w:val="0"/>
              <w:tabs>
                <w:tab w:val="left" w:pos="559"/>
              </w:tabs>
              <w:kinsoku/>
              <w:overflowPunct/>
              <w:topLinePunct w:val="0"/>
              <w:autoSpaceDE/>
              <w:autoSpaceDN/>
              <w:bidi w:val="0"/>
              <w:adjustRightInd/>
              <w:snapToGrid w:val="0"/>
              <w:spacing w:line="560" w:lineRule="exact"/>
              <w:jc w:val="center"/>
              <w:textAlignment w:val="auto"/>
              <w:rPr>
                <w:rFonts w:hint="eastAsia" w:ascii="宋体" w:hAnsi="宋体"/>
                <w:color w:val="000000"/>
                <w:szCs w:val="21"/>
              </w:rPr>
            </w:pPr>
            <w:r>
              <w:rPr>
                <w:rFonts w:ascii="宋体" w:hAnsi="宋体"/>
              </w:rPr>
              <w:t>0.00</w:t>
            </w:r>
          </w:p>
        </w:tc>
        <w:tc>
          <w:tcPr>
            <w:tcW w:w="1275" w:type="dxa"/>
            <w:vAlign w:val="center"/>
          </w:tcPr>
          <w:p w14:paraId="2B2E5D89">
            <w:pPr>
              <w:pageBreakBefore w:val="0"/>
              <w:tabs>
                <w:tab w:val="left" w:pos="559"/>
              </w:tabs>
              <w:kinsoku/>
              <w:overflowPunct/>
              <w:topLinePunct w:val="0"/>
              <w:autoSpaceDE/>
              <w:autoSpaceDN/>
              <w:bidi w:val="0"/>
              <w:adjustRightInd/>
              <w:snapToGrid w:val="0"/>
              <w:spacing w:line="560" w:lineRule="exact"/>
              <w:jc w:val="center"/>
              <w:textAlignment w:val="auto"/>
              <w:rPr>
                <w:rFonts w:hint="eastAsia" w:ascii="宋体" w:hAnsi="宋体"/>
                <w:color w:val="000000"/>
                <w:szCs w:val="21"/>
              </w:rPr>
            </w:pPr>
            <w:r>
              <w:rPr>
                <w:rFonts w:ascii="宋体" w:hAnsi="宋体"/>
              </w:rPr>
              <w:t>0.00</w:t>
            </w:r>
          </w:p>
        </w:tc>
        <w:tc>
          <w:tcPr>
            <w:tcW w:w="993" w:type="dxa"/>
            <w:vAlign w:val="center"/>
          </w:tcPr>
          <w:p w14:paraId="799BE8CA">
            <w:pPr>
              <w:pageBreakBefore w:val="0"/>
              <w:tabs>
                <w:tab w:val="left" w:pos="559"/>
              </w:tabs>
              <w:kinsoku/>
              <w:overflowPunct/>
              <w:topLinePunct w:val="0"/>
              <w:autoSpaceDE/>
              <w:autoSpaceDN/>
              <w:bidi w:val="0"/>
              <w:adjustRightInd/>
              <w:snapToGrid w:val="0"/>
              <w:spacing w:line="560" w:lineRule="exact"/>
              <w:jc w:val="center"/>
              <w:textAlignment w:val="auto"/>
              <w:rPr>
                <w:rFonts w:hint="eastAsia" w:ascii="宋体" w:hAnsi="宋体"/>
                <w:color w:val="000000"/>
                <w:szCs w:val="21"/>
              </w:rPr>
            </w:pPr>
            <w:r>
              <w:rPr>
                <w:rFonts w:hint="eastAsia" w:ascii="宋体" w:hAnsi="宋体"/>
                <w:color w:val="000000"/>
                <w:szCs w:val="21"/>
              </w:rPr>
              <w:t>/</w:t>
            </w:r>
          </w:p>
        </w:tc>
      </w:tr>
      <w:tr w14:paraId="7006B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C859714">
            <w:pPr>
              <w:pageBreakBefore w:val="0"/>
              <w:tabs>
                <w:tab w:val="left" w:pos="559"/>
              </w:tabs>
              <w:kinsoku/>
              <w:overflowPunct/>
              <w:topLinePunct w:val="0"/>
              <w:autoSpaceDE/>
              <w:autoSpaceDN/>
              <w:bidi w:val="0"/>
              <w:adjustRightInd/>
              <w:snapToGrid w:val="0"/>
              <w:spacing w:line="560" w:lineRule="exact"/>
              <w:jc w:val="center"/>
              <w:textAlignment w:val="auto"/>
              <w:rPr>
                <w:rFonts w:hint="eastAsia" w:ascii="宋体" w:hAnsi="宋体"/>
                <w:color w:val="000000"/>
                <w:szCs w:val="21"/>
              </w:rPr>
            </w:pPr>
            <w:r>
              <w:rPr>
                <w:rFonts w:hint="eastAsia" w:ascii="宋体" w:hAnsi="宋体"/>
                <w:color w:val="000000"/>
                <w:szCs w:val="21"/>
              </w:rPr>
              <w:t>3</w:t>
            </w:r>
          </w:p>
        </w:tc>
        <w:tc>
          <w:tcPr>
            <w:tcW w:w="3260" w:type="dxa"/>
            <w:vAlign w:val="center"/>
          </w:tcPr>
          <w:p w14:paraId="37B23CB1">
            <w:pPr>
              <w:pageBreakBefore w:val="0"/>
              <w:tabs>
                <w:tab w:val="left" w:pos="559"/>
              </w:tabs>
              <w:kinsoku/>
              <w:overflowPunct/>
              <w:topLinePunct w:val="0"/>
              <w:autoSpaceDE/>
              <w:autoSpaceDN/>
              <w:bidi w:val="0"/>
              <w:adjustRightInd/>
              <w:snapToGrid w:val="0"/>
              <w:spacing w:line="560" w:lineRule="exact"/>
              <w:jc w:val="left"/>
              <w:textAlignment w:val="auto"/>
              <w:rPr>
                <w:rFonts w:hint="eastAsia" w:ascii="宋体" w:hAnsi="宋体"/>
                <w:bCs/>
                <w:color w:val="000000"/>
                <w:szCs w:val="21"/>
              </w:rPr>
            </w:pPr>
          </w:p>
        </w:tc>
        <w:tc>
          <w:tcPr>
            <w:tcW w:w="851" w:type="dxa"/>
            <w:vAlign w:val="center"/>
          </w:tcPr>
          <w:p w14:paraId="7EE42001">
            <w:pPr>
              <w:pageBreakBefore w:val="0"/>
              <w:kinsoku/>
              <w:overflowPunct/>
              <w:topLinePunct w:val="0"/>
              <w:autoSpaceDE/>
              <w:autoSpaceDN/>
              <w:bidi w:val="0"/>
              <w:adjustRightInd/>
              <w:spacing w:line="560" w:lineRule="exact"/>
              <w:jc w:val="center"/>
              <w:textAlignment w:val="auto"/>
            </w:pPr>
            <w:r>
              <w:rPr>
                <w:rFonts w:hint="eastAsia" w:ascii="宋体" w:hAnsi="宋体"/>
                <w:color w:val="000000"/>
                <w:szCs w:val="21"/>
              </w:rPr>
              <w:t>1项</w:t>
            </w:r>
          </w:p>
        </w:tc>
        <w:tc>
          <w:tcPr>
            <w:tcW w:w="1276" w:type="dxa"/>
            <w:vAlign w:val="center"/>
          </w:tcPr>
          <w:p w14:paraId="59862893">
            <w:pPr>
              <w:pageBreakBefore w:val="0"/>
              <w:tabs>
                <w:tab w:val="left" w:pos="559"/>
              </w:tabs>
              <w:kinsoku/>
              <w:overflowPunct/>
              <w:topLinePunct w:val="0"/>
              <w:autoSpaceDE/>
              <w:autoSpaceDN/>
              <w:bidi w:val="0"/>
              <w:adjustRightInd/>
              <w:snapToGrid w:val="0"/>
              <w:spacing w:line="560" w:lineRule="exact"/>
              <w:jc w:val="center"/>
              <w:textAlignment w:val="auto"/>
              <w:rPr>
                <w:rFonts w:hint="eastAsia" w:ascii="宋体" w:hAnsi="宋体"/>
                <w:color w:val="000000"/>
                <w:szCs w:val="21"/>
              </w:rPr>
            </w:pPr>
            <w:r>
              <w:rPr>
                <w:rFonts w:ascii="宋体" w:hAnsi="宋体"/>
              </w:rPr>
              <w:t>0.00</w:t>
            </w:r>
          </w:p>
        </w:tc>
        <w:tc>
          <w:tcPr>
            <w:tcW w:w="1275" w:type="dxa"/>
            <w:vAlign w:val="center"/>
          </w:tcPr>
          <w:p w14:paraId="47E86817">
            <w:pPr>
              <w:pageBreakBefore w:val="0"/>
              <w:tabs>
                <w:tab w:val="left" w:pos="559"/>
              </w:tabs>
              <w:kinsoku/>
              <w:overflowPunct/>
              <w:topLinePunct w:val="0"/>
              <w:autoSpaceDE/>
              <w:autoSpaceDN/>
              <w:bidi w:val="0"/>
              <w:adjustRightInd/>
              <w:snapToGrid w:val="0"/>
              <w:spacing w:line="560" w:lineRule="exact"/>
              <w:jc w:val="center"/>
              <w:textAlignment w:val="auto"/>
              <w:rPr>
                <w:rFonts w:hint="eastAsia" w:ascii="宋体" w:hAnsi="宋体"/>
                <w:color w:val="000000"/>
                <w:szCs w:val="21"/>
              </w:rPr>
            </w:pPr>
            <w:r>
              <w:rPr>
                <w:rFonts w:ascii="宋体" w:hAnsi="宋体"/>
              </w:rPr>
              <w:t>0.00</w:t>
            </w:r>
          </w:p>
        </w:tc>
        <w:tc>
          <w:tcPr>
            <w:tcW w:w="993" w:type="dxa"/>
            <w:vAlign w:val="center"/>
          </w:tcPr>
          <w:p w14:paraId="1C5A5C23">
            <w:pPr>
              <w:pageBreakBefore w:val="0"/>
              <w:tabs>
                <w:tab w:val="left" w:pos="559"/>
              </w:tabs>
              <w:kinsoku/>
              <w:overflowPunct/>
              <w:topLinePunct w:val="0"/>
              <w:autoSpaceDE/>
              <w:autoSpaceDN/>
              <w:bidi w:val="0"/>
              <w:adjustRightInd/>
              <w:snapToGrid w:val="0"/>
              <w:spacing w:line="560" w:lineRule="exact"/>
              <w:jc w:val="center"/>
              <w:textAlignment w:val="auto"/>
              <w:rPr>
                <w:rFonts w:hint="eastAsia" w:ascii="宋体" w:hAnsi="宋体"/>
                <w:color w:val="000000"/>
                <w:szCs w:val="21"/>
              </w:rPr>
            </w:pPr>
            <w:r>
              <w:rPr>
                <w:rFonts w:hint="eastAsia" w:ascii="宋体" w:hAnsi="宋体"/>
                <w:color w:val="000000"/>
                <w:szCs w:val="21"/>
              </w:rPr>
              <w:t>/</w:t>
            </w:r>
          </w:p>
        </w:tc>
      </w:tr>
      <w:tr w14:paraId="2E78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C3D8C3E">
            <w:pPr>
              <w:pageBreakBefore w:val="0"/>
              <w:tabs>
                <w:tab w:val="left" w:pos="559"/>
              </w:tabs>
              <w:kinsoku/>
              <w:overflowPunct/>
              <w:topLinePunct w:val="0"/>
              <w:autoSpaceDE/>
              <w:autoSpaceDN/>
              <w:bidi w:val="0"/>
              <w:adjustRightInd/>
              <w:snapToGrid w:val="0"/>
              <w:spacing w:line="560" w:lineRule="exact"/>
              <w:jc w:val="center"/>
              <w:textAlignment w:val="auto"/>
              <w:rPr>
                <w:rFonts w:hint="eastAsia" w:ascii="宋体" w:hAnsi="宋体"/>
                <w:color w:val="000000"/>
                <w:szCs w:val="21"/>
              </w:rPr>
            </w:pPr>
            <w:r>
              <w:rPr>
                <w:rFonts w:hint="eastAsia" w:ascii="宋体" w:hAnsi="宋体"/>
                <w:color w:val="000000"/>
                <w:szCs w:val="21"/>
              </w:rPr>
              <w:t>4</w:t>
            </w:r>
          </w:p>
        </w:tc>
        <w:tc>
          <w:tcPr>
            <w:tcW w:w="3260" w:type="dxa"/>
            <w:vAlign w:val="center"/>
          </w:tcPr>
          <w:p w14:paraId="5391C993">
            <w:pPr>
              <w:pageBreakBefore w:val="0"/>
              <w:tabs>
                <w:tab w:val="left" w:pos="559"/>
              </w:tabs>
              <w:kinsoku/>
              <w:overflowPunct/>
              <w:topLinePunct w:val="0"/>
              <w:autoSpaceDE/>
              <w:autoSpaceDN/>
              <w:bidi w:val="0"/>
              <w:adjustRightInd/>
              <w:snapToGrid w:val="0"/>
              <w:spacing w:line="560" w:lineRule="exact"/>
              <w:jc w:val="left"/>
              <w:textAlignment w:val="auto"/>
              <w:rPr>
                <w:rFonts w:hint="eastAsia" w:ascii="宋体" w:hAnsi="宋体"/>
                <w:bCs/>
                <w:color w:val="000000"/>
                <w:szCs w:val="21"/>
              </w:rPr>
            </w:pPr>
          </w:p>
        </w:tc>
        <w:tc>
          <w:tcPr>
            <w:tcW w:w="851" w:type="dxa"/>
            <w:vAlign w:val="center"/>
          </w:tcPr>
          <w:p w14:paraId="2ADC4A4A">
            <w:pPr>
              <w:pageBreakBefore w:val="0"/>
              <w:kinsoku/>
              <w:overflowPunct/>
              <w:topLinePunct w:val="0"/>
              <w:autoSpaceDE/>
              <w:autoSpaceDN/>
              <w:bidi w:val="0"/>
              <w:adjustRightInd/>
              <w:spacing w:line="560" w:lineRule="exact"/>
              <w:jc w:val="center"/>
              <w:textAlignment w:val="auto"/>
            </w:pPr>
            <w:r>
              <w:rPr>
                <w:rFonts w:hint="eastAsia" w:ascii="宋体" w:hAnsi="宋体"/>
                <w:color w:val="000000"/>
                <w:szCs w:val="21"/>
              </w:rPr>
              <w:t>1项</w:t>
            </w:r>
          </w:p>
        </w:tc>
        <w:tc>
          <w:tcPr>
            <w:tcW w:w="1276" w:type="dxa"/>
            <w:vAlign w:val="center"/>
          </w:tcPr>
          <w:p w14:paraId="0488B4A8">
            <w:pPr>
              <w:pageBreakBefore w:val="0"/>
              <w:tabs>
                <w:tab w:val="left" w:pos="559"/>
              </w:tabs>
              <w:kinsoku/>
              <w:overflowPunct/>
              <w:topLinePunct w:val="0"/>
              <w:autoSpaceDE/>
              <w:autoSpaceDN/>
              <w:bidi w:val="0"/>
              <w:adjustRightInd/>
              <w:snapToGrid w:val="0"/>
              <w:spacing w:line="560" w:lineRule="exact"/>
              <w:jc w:val="center"/>
              <w:textAlignment w:val="auto"/>
              <w:rPr>
                <w:rFonts w:hint="eastAsia" w:ascii="宋体" w:hAnsi="宋体"/>
                <w:color w:val="000000"/>
                <w:szCs w:val="21"/>
              </w:rPr>
            </w:pPr>
            <w:r>
              <w:rPr>
                <w:rFonts w:ascii="宋体" w:hAnsi="宋体"/>
              </w:rPr>
              <w:t>0.00</w:t>
            </w:r>
          </w:p>
        </w:tc>
        <w:tc>
          <w:tcPr>
            <w:tcW w:w="1275" w:type="dxa"/>
            <w:vAlign w:val="center"/>
          </w:tcPr>
          <w:p w14:paraId="0E68F56A">
            <w:pPr>
              <w:pageBreakBefore w:val="0"/>
              <w:tabs>
                <w:tab w:val="left" w:pos="559"/>
              </w:tabs>
              <w:kinsoku/>
              <w:overflowPunct/>
              <w:topLinePunct w:val="0"/>
              <w:autoSpaceDE/>
              <w:autoSpaceDN/>
              <w:bidi w:val="0"/>
              <w:adjustRightInd/>
              <w:snapToGrid w:val="0"/>
              <w:spacing w:line="560" w:lineRule="exact"/>
              <w:jc w:val="center"/>
              <w:textAlignment w:val="auto"/>
              <w:rPr>
                <w:rFonts w:hint="eastAsia" w:ascii="宋体" w:hAnsi="宋体"/>
                <w:color w:val="000000"/>
                <w:szCs w:val="21"/>
              </w:rPr>
            </w:pPr>
            <w:r>
              <w:rPr>
                <w:rFonts w:ascii="宋体" w:hAnsi="宋体"/>
              </w:rPr>
              <w:t>0.00</w:t>
            </w:r>
          </w:p>
        </w:tc>
        <w:tc>
          <w:tcPr>
            <w:tcW w:w="993" w:type="dxa"/>
            <w:vAlign w:val="center"/>
          </w:tcPr>
          <w:p w14:paraId="3ADF2B41">
            <w:pPr>
              <w:pageBreakBefore w:val="0"/>
              <w:tabs>
                <w:tab w:val="left" w:pos="559"/>
              </w:tabs>
              <w:kinsoku/>
              <w:overflowPunct/>
              <w:topLinePunct w:val="0"/>
              <w:autoSpaceDE/>
              <w:autoSpaceDN/>
              <w:bidi w:val="0"/>
              <w:adjustRightInd/>
              <w:snapToGrid w:val="0"/>
              <w:spacing w:line="560" w:lineRule="exact"/>
              <w:jc w:val="center"/>
              <w:textAlignment w:val="auto"/>
              <w:rPr>
                <w:rFonts w:hint="eastAsia" w:ascii="宋体" w:hAnsi="宋体"/>
                <w:color w:val="000000"/>
                <w:szCs w:val="21"/>
              </w:rPr>
            </w:pPr>
            <w:r>
              <w:rPr>
                <w:rFonts w:hint="eastAsia" w:ascii="宋体" w:hAnsi="宋体"/>
                <w:color w:val="000000"/>
                <w:szCs w:val="21"/>
              </w:rPr>
              <w:t>/</w:t>
            </w:r>
          </w:p>
        </w:tc>
      </w:tr>
      <w:tr w14:paraId="4D8B8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14FAF52">
            <w:pPr>
              <w:pageBreakBefore w:val="0"/>
              <w:tabs>
                <w:tab w:val="left" w:pos="559"/>
              </w:tabs>
              <w:kinsoku/>
              <w:overflowPunct/>
              <w:topLinePunct w:val="0"/>
              <w:autoSpaceDE/>
              <w:autoSpaceDN/>
              <w:bidi w:val="0"/>
              <w:adjustRightInd/>
              <w:snapToGrid w:val="0"/>
              <w:spacing w:line="560" w:lineRule="exact"/>
              <w:jc w:val="center"/>
              <w:textAlignment w:val="auto"/>
              <w:rPr>
                <w:rFonts w:hint="eastAsia" w:ascii="宋体" w:hAnsi="宋体"/>
                <w:color w:val="000000"/>
                <w:szCs w:val="21"/>
              </w:rPr>
            </w:pPr>
            <w:r>
              <w:rPr>
                <w:rFonts w:ascii="宋体" w:hAnsi="宋体"/>
                <w:color w:val="000000"/>
                <w:szCs w:val="21"/>
              </w:rPr>
              <w:t>5</w:t>
            </w:r>
          </w:p>
        </w:tc>
        <w:tc>
          <w:tcPr>
            <w:tcW w:w="3260" w:type="dxa"/>
            <w:vAlign w:val="center"/>
          </w:tcPr>
          <w:p w14:paraId="51E29E8E">
            <w:pPr>
              <w:pageBreakBefore w:val="0"/>
              <w:tabs>
                <w:tab w:val="left" w:pos="559"/>
              </w:tabs>
              <w:kinsoku/>
              <w:overflowPunct/>
              <w:topLinePunct w:val="0"/>
              <w:autoSpaceDE/>
              <w:autoSpaceDN/>
              <w:bidi w:val="0"/>
              <w:adjustRightInd/>
              <w:snapToGrid w:val="0"/>
              <w:spacing w:line="560" w:lineRule="exact"/>
              <w:jc w:val="left"/>
              <w:textAlignment w:val="auto"/>
              <w:rPr>
                <w:rFonts w:hint="eastAsia" w:ascii="宋体" w:hAnsi="宋体"/>
                <w:bCs/>
                <w:color w:val="000000"/>
                <w:szCs w:val="21"/>
              </w:rPr>
            </w:pPr>
          </w:p>
        </w:tc>
        <w:tc>
          <w:tcPr>
            <w:tcW w:w="851" w:type="dxa"/>
            <w:vAlign w:val="center"/>
          </w:tcPr>
          <w:p w14:paraId="52FE7D73">
            <w:pPr>
              <w:pageBreakBefore w:val="0"/>
              <w:kinsoku/>
              <w:overflowPunct/>
              <w:topLinePunct w:val="0"/>
              <w:autoSpaceDE/>
              <w:autoSpaceDN/>
              <w:bidi w:val="0"/>
              <w:adjustRightInd/>
              <w:spacing w:line="560" w:lineRule="exact"/>
              <w:jc w:val="center"/>
              <w:textAlignment w:val="auto"/>
            </w:pPr>
            <w:r>
              <w:rPr>
                <w:rFonts w:hint="eastAsia" w:ascii="宋体" w:hAnsi="宋体"/>
                <w:color w:val="000000"/>
                <w:szCs w:val="21"/>
              </w:rPr>
              <w:t>1项</w:t>
            </w:r>
          </w:p>
        </w:tc>
        <w:tc>
          <w:tcPr>
            <w:tcW w:w="1276" w:type="dxa"/>
            <w:vAlign w:val="center"/>
          </w:tcPr>
          <w:p w14:paraId="4BDE3711">
            <w:pPr>
              <w:pageBreakBefore w:val="0"/>
              <w:tabs>
                <w:tab w:val="left" w:pos="559"/>
              </w:tabs>
              <w:kinsoku/>
              <w:overflowPunct/>
              <w:topLinePunct w:val="0"/>
              <w:autoSpaceDE/>
              <w:autoSpaceDN/>
              <w:bidi w:val="0"/>
              <w:adjustRightInd/>
              <w:snapToGrid w:val="0"/>
              <w:spacing w:line="560" w:lineRule="exact"/>
              <w:jc w:val="center"/>
              <w:textAlignment w:val="auto"/>
              <w:rPr>
                <w:rFonts w:hint="eastAsia" w:ascii="宋体" w:hAnsi="宋体"/>
                <w:color w:val="000000"/>
                <w:szCs w:val="21"/>
              </w:rPr>
            </w:pPr>
            <w:r>
              <w:rPr>
                <w:rFonts w:ascii="宋体" w:hAnsi="宋体"/>
              </w:rPr>
              <w:t>0.00</w:t>
            </w:r>
          </w:p>
        </w:tc>
        <w:tc>
          <w:tcPr>
            <w:tcW w:w="1275" w:type="dxa"/>
            <w:vAlign w:val="center"/>
          </w:tcPr>
          <w:p w14:paraId="53D7B511">
            <w:pPr>
              <w:pageBreakBefore w:val="0"/>
              <w:tabs>
                <w:tab w:val="left" w:pos="559"/>
              </w:tabs>
              <w:kinsoku/>
              <w:overflowPunct/>
              <w:topLinePunct w:val="0"/>
              <w:autoSpaceDE/>
              <w:autoSpaceDN/>
              <w:bidi w:val="0"/>
              <w:adjustRightInd/>
              <w:snapToGrid w:val="0"/>
              <w:spacing w:line="560" w:lineRule="exact"/>
              <w:jc w:val="center"/>
              <w:textAlignment w:val="auto"/>
              <w:rPr>
                <w:rFonts w:hint="eastAsia" w:ascii="宋体" w:hAnsi="宋体"/>
                <w:color w:val="000000"/>
                <w:szCs w:val="21"/>
              </w:rPr>
            </w:pPr>
            <w:r>
              <w:rPr>
                <w:rFonts w:ascii="宋体" w:hAnsi="宋体"/>
              </w:rPr>
              <w:t>0.00</w:t>
            </w:r>
          </w:p>
        </w:tc>
        <w:tc>
          <w:tcPr>
            <w:tcW w:w="993" w:type="dxa"/>
            <w:vAlign w:val="center"/>
          </w:tcPr>
          <w:p w14:paraId="16FCE7B3">
            <w:pPr>
              <w:pageBreakBefore w:val="0"/>
              <w:tabs>
                <w:tab w:val="left" w:pos="559"/>
              </w:tabs>
              <w:kinsoku/>
              <w:overflowPunct/>
              <w:topLinePunct w:val="0"/>
              <w:autoSpaceDE/>
              <w:autoSpaceDN/>
              <w:bidi w:val="0"/>
              <w:adjustRightInd/>
              <w:snapToGrid w:val="0"/>
              <w:spacing w:line="560" w:lineRule="exact"/>
              <w:jc w:val="center"/>
              <w:textAlignment w:val="auto"/>
              <w:rPr>
                <w:rFonts w:hint="eastAsia" w:ascii="宋体" w:hAnsi="宋体"/>
                <w:color w:val="000000"/>
                <w:szCs w:val="21"/>
              </w:rPr>
            </w:pPr>
            <w:r>
              <w:rPr>
                <w:rFonts w:hint="eastAsia" w:ascii="宋体" w:hAnsi="宋体"/>
                <w:color w:val="000000"/>
                <w:szCs w:val="21"/>
              </w:rPr>
              <w:t>/</w:t>
            </w:r>
          </w:p>
        </w:tc>
      </w:tr>
      <w:tr w14:paraId="1508B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6"/>
            <w:vAlign w:val="center"/>
          </w:tcPr>
          <w:p w14:paraId="6964255A">
            <w:pPr>
              <w:pageBreakBefore w:val="0"/>
              <w:tabs>
                <w:tab w:val="left" w:pos="559"/>
              </w:tabs>
              <w:kinsoku/>
              <w:overflowPunct/>
              <w:topLinePunct w:val="0"/>
              <w:autoSpaceDE/>
              <w:autoSpaceDN/>
              <w:bidi w:val="0"/>
              <w:adjustRightInd/>
              <w:snapToGrid w:val="0"/>
              <w:spacing w:line="560" w:lineRule="exact"/>
              <w:jc w:val="left"/>
              <w:textAlignment w:val="auto"/>
              <w:rPr>
                <w:rFonts w:hint="eastAsia" w:ascii="宋体" w:hAnsi="宋体"/>
                <w:color w:val="000000"/>
                <w:szCs w:val="21"/>
              </w:rPr>
            </w:pPr>
            <w:r>
              <w:rPr>
                <w:rFonts w:hint="eastAsia" w:ascii="宋体" w:hAnsi="宋体"/>
                <w:color w:val="000000"/>
                <w:szCs w:val="21"/>
              </w:rPr>
              <w:t>合同总价：人民币</w:t>
            </w:r>
            <w:r>
              <w:rPr>
                <w:rFonts w:hint="eastAsia" w:ascii="宋体" w:hAnsi="宋体"/>
                <w:color w:val="000000"/>
                <w:szCs w:val="21"/>
                <w:u w:val="single"/>
              </w:rPr>
              <w:t>元整（¥</w:t>
            </w:r>
            <w:r>
              <w:rPr>
                <w:rFonts w:ascii="宋体" w:hAnsi="宋体"/>
                <w:color w:val="000000"/>
                <w:szCs w:val="21"/>
                <w:u w:val="single"/>
              </w:rPr>
              <w:t>0.00</w:t>
            </w:r>
            <w:r>
              <w:rPr>
                <w:rFonts w:hint="eastAsia" w:ascii="宋体" w:hAnsi="宋体"/>
                <w:color w:val="000000"/>
                <w:szCs w:val="21"/>
                <w:u w:val="single"/>
              </w:rPr>
              <w:t>）</w:t>
            </w:r>
          </w:p>
        </w:tc>
      </w:tr>
    </w:tbl>
    <w:p w14:paraId="36850736">
      <w:pPr>
        <w:pageBreakBefore w:val="0"/>
        <w:tabs>
          <w:tab w:val="left" w:pos="559"/>
        </w:tabs>
        <w:kinsoku/>
        <w:overflowPunct/>
        <w:topLinePunct w:val="0"/>
        <w:autoSpaceDE/>
        <w:autoSpaceDN/>
        <w:bidi w:val="0"/>
        <w:adjustRightInd/>
        <w:snapToGrid w:val="0"/>
        <w:spacing w:line="560" w:lineRule="exact"/>
        <w:ind w:firstLine="420" w:firstLineChars="200"/>
        <w:jc w:val="left"/>
        <w:textAlignment w:val="auto"/>
        <w:rPr>
          <w:rFonts w:hint="eastAsia" w:ascii="宋体" w:hAnsi="宋体"/>
          <w:color w:val="000000"/>
          <w:szCs w:val="21"/>
        </w:rPr>
      </w:pPr>
      <w:r>
        <w:rPr>
          <w:rFonts w:hint="eastAsia" w:ascii="宋体" w:hAnsi="宋体"/>
          <w:color w:val="000000"/>
          <w:szCs w:val="21"/>
        </w:rPr>
        <w:t>具体内容详见附件一：采购需求。</w:t>
      </w:r>
    </w:p>
    <w:p w14:paraId="6A6ABEB2">
      <w:pPr>
        <w:pageBreakBefore w:val="0"/>
        <w:kinsoku/>
        <w:overflowPunct/>
        <w:topLinePunct w:val="0"/>
        <w:autoSpaceDE/>
        <w:autoSpaceDN/>
        <w:bidi w:val="0"/>
        <w:adjustRightInd/>
        <w:snapToGrid w:val="0"/>
        <w:spacing w:line="560" w:lineRule="exact"/>
        <w:ind w:left="315" w:leftChars="150" w:firstLine="105" w:firstLineChars="50"/>
        <w:textAlignment w:val="auto"/>
        <w:rPr>
          <w:rFonts w:ascii="宋体" w:hAnsi="宋体"/>
          <w:color w:val="000000"/>
          <w:szCs w:val="21"/>
        </w:rPr>
      </w:pPr>
      <w:r>
        <w:rPr>
          <w:rFonts w:hint="eastAsia" w:ascii="宋体" w:hAnsi="宋体"/>
          <w:color w:val="000000"/>
          <w:szCs w:val="21"/>
        </w:rPr>
        <w:t>2、合同合计金额：（大写）人民币</w:t>
      </w:r>
      <w:r>
        <w:rPr>
          <w:rFonts w:hint="eastAsia"/>
          <w:color w:val="FF0000"/>
          <w:u w:val="single"/>
        </w:rPr>
        <w:t xml:space="preserve">     </w:t>
      </w:r>
      <w:r>
        <w:rPr>
          <w:rFonts w:hint="eastAsia"/>
          <w:color w:val="FF0000"/>
          <w:u w:val="single"/>
          <w:lang w:val="en-US" w:eastAsia="zh-CN"/>
        </w:rPr>
        <w:t xml:space="preserve">    </w:t>
      </w:r>
      <w:r>
        <w:rPr>
          <w:rFonts w:hint="eastAsia"/>
          <w:color w:val="FF0000"/>
          <w:u w:val="single"/>
        </w:rPr>
        <w:t xml:space="preserve"> 元整(小写：    元</w:t>
      </w:r>
      <w:r>
        <w:rPr>
          <w:color w:val="FF0000"/>
          <w:u w:val="single"/>
        </w:rPr>
        <w:t>)</w:t>
      </w:r>
      <w:r>
        <w:rPr>
          <w:rFonts w:hint="eastAsia" w:ascii="宋体" w:hAnsi="宋体"/>
          <w:color w:val="000000"/>
          <w:szCs w:val="21"/>
        </w:rPr>
        <w:t>。</w:t>
      </w:r>
    </w:p>
    <w:p w14:paraId="0F0C7D8F">
      <w:pPr>
        <w:pageBreakBefore w:val="0"/>
        <w:kinsoku/>
        <w:overflowPunct/>
        <w:topLinePunct w:val="0"/>
        <w:autoSpaceDE/>
        <w:autoSpaceDN/>
        <w:bidi w:val="0"/>
        <w:adjustRightInd/>
        <w:snapToGrid w:val="0"/>
        <w:spacing w:line="560" w:lineRule="exact"/>
        <w:ind w:right="-127" w:firstLine="420" w:firstLineChars="200"/>
        <w:textAlignment w:val="auto"/>
        <w:rPr>
          <w:rFonts w:ascii="宋体" w:hAnsi="宋体"/>
          <w:szCs w:val="21"/>
        </w:rPr>
      </w:pPr>
      <w:r>
        <w:rPr>
          <w:rFonts w:hint="eastAsia" w:ascii="宋体" w:hAnsi="宋体"/>
          <w:szCs w:val="21"/>
        </w:rPr>
        <w:t>3、合同合计金额包括完成本项目采购要求、人员要求所产生的全部费用。如招投标文件对其另有规定的，从其规定。</w:t>
      </w:r>
    </w:p>
    <w:p w14:paraId="04552B19">
      <w:pPr>
        <w:pageBreakBefore w:val="0"/>
        <w:kinsoku/>
        <w:overflowPunct/>
        <w:topLinePunct w:val="0"/>
        <w:autoSpaceDE/>
        <w:autoSpaceDN/>
        <w:bidi w:val="0"/>
        <w:adjustRightInd/>
        <w:snapToGrid w:val="0"/>
        <w:spacing w:line="560" w:lineRule="exact"/>
        <w:ind w:firstLine="422" w:firstLineChars="200"/>
        <w:textAlignment w:val="auto"/>
        <w:rPr>
          <w:rFonts w:ascii="宋体" w:hAnsi="宋体"/>
          <w:b/>
          <w:szCs w:val="21"/>
        </w:rPr>
      </w:pPr>
      <w:r>
        <w:rPr>
          <w:rFonts w:hint="eastAsia" w:ascii="宋体" w:hAnsi="宋体"/>
          <w:b/>
          <w:szCs w:val="21"/>
        </w:rPr>
        <w:t>第二条、质量保证</w:t>
      </w:r>
    </w:p>
    <w:p w14:paraId="0057FECE">
      <w:pPr>
        <w:pageBreakBefore w:val="0"/>
        <w:kinsoku/>
        <w:overflowPunct/>
        <w:topLinePunct w:val="0"/>
        <w:autoSpaceDE/>
        <w:autoSpaceDN/>
        <w:bidi w:val="0"/>
        <w:adjustRightInd/>
        <w:snapToGrid w:val="0"/>
        <w:spacing w:line="560" w:lineRule="exact"/>
        <w:ind w:firstLine="420" w:firstLineChars="200"/>
        <w:textAlignment w:val="auto"/>
        <w:rPr>
          <w:rFonts w:ascii="宋体" w:hAnsi="宋体"/>
          <w:szCs w:val="21"/>
        </w:rPr>
      </w:pPr>
      <w:r>
        <w:rPr>
          <w:rFonts w:hint="eastAsia" w:ascii="宋体" w:hAnsi="宋体"/>
          <w:szCs w:val="21"/>
        </w:rPr>
        <w:t>1、乙方所提供的服务必须与招投标文件和承诺相一致。</w:t>
      </w:r>
    </w:p>
    <w:p w14:paraId="67F60097">
      <w:pPr>
        <w:pageBreakBefore w:val="0"/>
        <w:kinsoku/>
        <w:overflowPunct/>
        <w:topLinePunct w:val="0"/>
        <w:autoSpaceDE/>
        <w:autoSpaceDN/>
        <w:bidi w:val="0"/>
        <w:adjustRightInd/>
        <w:snapToGrid w:val="0"/>
        <w:spacing w:line="560" w:lineRule="exact"/>
        <w:ind w:firstLine="420" w:firstLineChars="200"/>
        <w:textAlignment w:val="auto"/>
        <w:rPr>
          <w:rFonts w:ascii="宋体" w:hAnsi="宋体"/>
          <w:szCs w:val="21"/>
        </w:rPr>
      </w:pPr>
      <w:r>
        <w:rPr>
          <w:rFonts w:hint="eastAsia" w:ascii="宋体" w:hAnsi="宋体"/>
          <w:szCs w:val="21"/>
        </w:rPr>
        <w:t>2、乙方所提供的服务质量应达到招投标文件要求和承诺的质量要求。</w:t>
      </w:r>
    </w:p>
    <w:p w14:paraId="62AFEA1C">
      <w:pPr>
        <w:pageBreakBefore w:val="0"/>
        <w:kinsoku/>
        <w:overflowPunct/>
        <w:topLinePunct w:val="0"/>
        <w:autoSpaceDE/>
        <w:autoSpaceDN/>
        <w:bidi w:val="0"/>
        <w:adjustRightInd/>
        <w:snapToGrid w:val="0"/>
        <w:spacing w:line="560" w:lineRule="exact"/>
        <w:ind w:firstLine="420" w:firstLineChars="200"/>
        <w:textAlignment w:val="auto"/>
        <w:rPr>
          <w:rFonts w:ascii="宋体" w:hAnsi="宋体"/>
          <w:szCs w:val="21"/>
        </w:rPr>
      </w:pPr>
      <w:r>
        <w:rPr>
          <w:rFonts w:hint="eastAsia" w:ascii="宋体" w:hAnsi="宋体"/>
          <w:szCs w:val="21"/>
        </w:rPr>
        <w:t>3、如在服务期中发生问题，乙方在接到甲方通知后按乙方投标文件承诺时间远程或到达甲方现场处理。</w:t>
      </w:r>
    </w:p>
    <w:p w14:paraId="4C4584AA">
      <w:pPr>
        <w:pageBreakBefore w:val="0"/>
        <w:kinsoku/>
        <w:overflowPunct/>
        <w:topLinePunct w:val="0"/>
        <w:autoSpaceDE/>
        <w:autoSpaceDN/>
        <w:bidi w:val="0"/>
        <w:adjustRightInd/>
        <w:snapToGrid w:val="0"/>
        <w:spacing w:line="560" w:lineRule="exact"/>
        <w:ind w:firstLine="420" w:firstLineChars="200"/>
        <w:textAlignment w:val="auto"/>
        <w:rPr>
          <w:rFonts w:ascii="宋体" w:hAnsi="宋体"/>
          <w:szCs w:val="21"/>
          <w:u w:val="single"/>
        </w:rPr>
      </w:pPr>
      <w:r>
        <w:rPr>
          <w:rFonts w:hint="eastAsia" w:ascii="宋体" w:hAnsi="宋体"/>
          <w:szCs w:val="21"/>
        </w:rPr>
        <w:t>4、在服务期内，乙方应对出现的质量及安全问题负责处理解决并承担一切费用。</w:t>
      </w:r>
    </w:p>
    <w:p w14:paraId="50E5B35E">
      <w:pPr>
        <w:pageBreakBefore w:val="0"/>
        <w:kinsoku/>
        <w:overflowPunct/>
        <w:topLinePunct w:val="0"/>
        <w:autoSpaceDE/>
        <w:autoSpaceDN/>
        <w:bidi w:val="0"/>
        <w:adjustRightInd/>
        <w:snapToGrid w:val="0"/>
        <w:spacing w:line="560" w:lineRule="exact"/>
        <w:ind w:firstLine="422" w:firstLineChars="200"/>
        <w:textAlignment w:val="auto"/>
        <w:rPr>
          <w:rFonts w:ascii="宋体" w:hAnsi="宋体"/>
          <w:b/>
          <w:szCs w:val="21"/>
        </w:rPr>
      </w:pPr>
      <w:r>
        <w:rPr>
          <w:rFonts w:hint="eastAsia" w:ascii="宋体" w:hAnsi="宋体"/>
          <w:b/>
          <w:szCs w:val="21"/>
        </w:rPr>
        <w:t>第三条、权利保证</w:t>
      </w:r>
    </w:p>
    <w:p w14:paraId="6E67B37C">
      <w:pPr>
        <w:pageBreakBefore w:val="0"/>
        <w:kinsoku/>
        <w:overflowPunct/>
        <w:topLinePunct w:val="0"/>
        <w:autoSpaceDE/>
        <w:autoSpaceDN/>
        <w:bidi w:val="0"/>
        <w:adjustRightInd/>
        <w:snapToGrid w:val="0"/>
        <w:spacing w:line="560" w:lineRule="exact"/>
        <w:ind w:firstLine="420" w:firstLineChars="200"/>
        <w:textAlignment w:val="auto"/>
        <w:rPr>
          <w:rFonts w:ascii="宋体" w:hAnsi="宋体"/>
          <w:szCs w:val="21"/>
        </w:rPr>
      </w:pPr>
      <w:r>
        <w:rPr>
          <w:rFonts w:hint="eastAsia" w:ascii="宋体" w:hAnsi="宋体"/>
          <w:szCs w:val="21"/>
        </w:rPr>
        <w:t>1、乙方应保证所提供的服务不会侵犯任何第三方的专利权、商标权、工业设计权或其他权利。</w:t>
      </w:r>
    </w:p>
    <w:p w14:paraId="75E67FEB">
      <w:pPr>
        <w:pageBreakBefore w:val="0"/>
        <w:kinsoku/>
        <w:overflowPunct/>
        <w:topLinePunct w:val="0"/>
        <w:autoSpaceDE/>
        <w:autoSpaceDN/>
        <w:bidi w:val="0"/>
        <w:adjustRightInd/>
        <w:snapToGrid w:val="0"/>
        <w:spacing w:line="560" w:lineRule="exact"/>
        <w:ind w:firstLine="420" w:firstLineChars="200"/>
        <w:textAlignment w:val="auto"/>
        <w:rPr>
          <w:rFonts w:ascii="宋体" w:hAnsi="宋体"/>
          <w:szCs w:val="21"/>
        </w:rPr>
      </w:pPr>
      <w:r>
        <w:rPr>
          <w:rFonts w:hint="eastAsia" w:ascii="宋体" w:hAnsi="宋体"/>
          <w:szCs w:val="21"/>
        </w:rPr>
        <w:t>2、乙方应按招标文件规定的时间完成本项目。</w:t>
      </w:r>
    </w:p>
    <w:p w14:paraId="715A174D">
      <w:pPr>
        <w:pageBreakBefore w:val="0"/>
        <w:kinsoku/>
        <w:overflowPunct/>
        <w:topLinePunct w:val="0"/>
        <w:autoSpaceDE/>
        <w:autoSpaceDN/>
        <w:bidi w:val="0"/>
        <w:adjustRightInd/>
        <w:snapToGrid w:val="0"/>
        <w:spacing w:line="560" w:lineRule="exact"/>
        <w:ind w:firstLine="420" w:firstLineChars="200"/>
        <w:textAlignment w:val="auto"/>
        <w:rPr>
          <w:rFonts w:hint="eastAsia" w:ascii="宋体" w:hAnsi="宋体"/>
          <w:szCs w:val="21"/>
        </w:rPr>
      </w:pPr>
      <w:r>
        <w:rPr>
          <w:rFonts w:hint="eastAsia" w:ascii="宋体" w:hAnsi="宋体"/>
          <w:szCs w:val="21"/>
        </w:rPr>
        <w:t>3、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07DD1ECD">
      <w:pPr>
        <w:pageBreakBefore w:val="0"/>
        <w:kinsoku/>
        <w:overflowPunct/>
        <w:topLinePunct w:val="0"/>
        <w:autoSpaceDE/>
        <w:autoSpaceDN/>
        <w:bidi w:val="0"/>
        <w:adjustRightInd/>
        <w:snapToGrid w:val="0"/>
        <w:spacing w:line="560" w:lineRule="exact"/>
        <w:ind w:firstLine="422" w:firstLineChars="200"/>
        <w:textAlignment w:val="auto"/>
        <w:rPr>
          <w:rFonts w:ascii="宋体" w:hAnsi="宋体"/>
          <w:b/>
          <w:szCs w:val="21"/>
        </w:rPr>
      </w:pPr>
      <w:r>
        <w:rPr>
          <w:rFonts w:hint="eastAsia" w:ascii="宋体" w:hAnsi="宋体"/>
          <w:b/>
          <w:szCs w:val="21"/>
        </w:rPr>
        <w:t>第四条、交付和验收</w:t>
      </w:r>
    </w:p>
    <w:p w14:paraId="3ABAF162">
      <w:pPr>
        <w:pageBreakBefore w:val="0"/>
        <w:kinsoku/>
        <w:overflowPunct/>
        <w:topLinePunct w:val="0"/>
        <w:autoSpaceDE/>
        <w:autoSpaceDN/>
        <w:bidi w:val="0"/>
        <w:adjustRightInd/>
        <w:snapToGrid w:val="0"/>
        <w:spacing w:line="560" w:lineRule="exact"/>
        <w:ind w:firstLine="420" w:firstLineChars="200"/>
        <w:textAlignment w:val="auto"/>
        <w:rPr>
          <w:rFonts w:ascii="宋体" w:hAnsi="宋体"/>
          <w:szCs w:val="21"/>
        </w:rPr>
      </w:pPr>
      <w:r>
        <w:rPr>
          <w:rFonts w:hint="eastAsia" w:ascii="宋体" w:hAnsi="宋体"/>
          <w:szCs w:val="21"/>
        </w:rPr>
        <w:t>1、售后服务时间：</w:t>
      </w:r>
      <w:r>
        <w:rPr>
          <w:rFonts w:hint="eastAsia" w:ascii="宋体" w:hAnsi="宋体"/>
          <w:color w:val="FF0000"/>
          <w:szCs w:val="21"/>
          <w:u w:val="single"/>
        </w:rPr>
        <w:t>三年。质保期从验收合格之日起计算。</w:t>
      </w:r>
    </w:p>
    <w:p w14:paraId="24DBDBF9">
      <w:pPr>
        <w:pageBreakBefore w:val="0"/>
        <w:kinsoku/>
        <w:overflowPunct/>
        <w:topLinePunct w:val="0"/>
        <w:autoSpaceDE/>
        <w:autoSpaceDN/>
        <w:bidi w:val="0"/>
        <w:adjustRightInd/>
        <w:snapToGrid w:val="0"/>
        <w:spacing w:line="560" w:lineRule="exact"/>
        <w:ind w:firstLine="420" w:firstLineChars="200"/>
        <w:textAlignment w:val="auto"/>
        <w:rPr>
          <w:rFonts w:hint="eastAsia" w:ascii="宋体" w:hAnsi="宋体"/>
          <w:color w:val="FF0000"/>
          <w:szCs w:val="21"/>
        </w:rPr>
      </w:pPr>
      <w:r>
        <w:rPr>
          <w:rFonts w:hint="eastAsia" w:ascii="宋体" w:hAnsi="宋体"/>
          <w:szCs w:val="21"/>
        </w:rPr>
        <w:t>2、交付时间</w:t>
      </w:r>
      <w:r>
        <w:rPr>
          <w:rFonts w:hint="eastAsia" w:ascii="宋体" w:hAnsi="宋体"/>
          <w:color w:val="000000"/>
          <w:szCs w:val="21"/>
        </w:rPr>
        <w:t>：</w:t>
      </w:r>
      <w:r>
        <w:rPr>
          <w:rFonts w:hint="eastAsia" w:ascii="宋体" w:hAnsi="宋体"/>
          <w:color w:val="FF0000"/>
          <w:szCs w:val="21"/>
          <w:u w:val="single"/>
        </w:rPr>
        <w:t>自签订合同之日起</w:t>
      </w:r>
      <w:r>
        <w:rPr>
          <w:rFonts w:hint="eastAsia" w:ascii="宋体" w:hAnsi="宋体"/>
          <w:bCs/>
          <w:color w:val="FF0000"/>
          <w:szCs w:val="21"/>
          <w:u w:val="single"/>
        </w:rPr>
        <w:t>90个工作日</w:t>
      </w:r>
      <w:r>
        <w:rPr>
          <w:rFonts w:hint="eastAsia" w:ascii="宋体" w:hAnsi="宋体"/>
          <w:color w:val="FF0000"/>
          <w:szCs w:val="21"/>
          <w:u w:val="single"/>
        </w:rPr>
        <w:t>内完成所有软件安装、调试完毕并交付使用。</w:t>
      </w:r>
    </w:p>
    <w:p w14:paraId="13AAEDB9">
      <w:pPr>
        <w:pageBreakBefore w:val="0"/>
        <w:kinsoku/>
        <w:overflowPunct/>
        <w:topLinePunct w:val="0"/>
        <w:autoSpaceDE/>
        <w:autoSpaceDN/>
        <w:bidi w:val="0"/>
        <w:adjustRightInd/>
        <w:snapToGrid w:val="0"/>
        <w:spacing w:line="560" w:lineRule="exact"/>
        <w:ind w:firstLine="420" w:firstLineChars="200"/>
        <w:textAlignment w:val="auto"/>
        <w:rPr>
          <w:rFonts w:ascii="宋体" w:hAnsi="宋体"/>
          <w:szCs w:val="21"/>
        </w:rPr>
      </w:pPr>
      <w:r>
        <w:rPr>
          <w:rFonts w:ascii="宋体" w:hAnsi="宋体"/>
          <w:szCs w:val="21"/>
        </w:rPr>
        <w:t>2</w:t>
      </w:r>
      <w:r>
        <w:rPr>
          <w:rFonts w:hint="eastAsia" w:ascii="宋体" w:hAnsi="宋体"/>
          <w:szCs w:val="21"/>
        </w:rPr>
        <w:t>、交付地点：</w:t>
      </w:r>
      <w:r>
        <w:rPr>
          <w:rFonts w:hint="eastAsia" w:ascii="宋体" w:hAnsi="宋体"/>
          <w:color w:val="000000"/>
          <w:szCs w:val="21"/>
          <w:u w:val="single"/>
        </w:rPr>
        <w:t xml:space="preserve">广西警察学院（采购单位指定地点）。 </w:t>
      </w:r>
    </w:p>
    <w:p w14:paraId="7F594B38">
      <w:pPr>
        <w:pageBreakBefore w:val="0"/>
        <w:kinsoku/>
        <w:overflowPunct/>
        <w:topLinePunct w:val="0"/>
        <w:autoSpaceDE/>
        <w:autoSpaceDN/>
        <w:bidi w:val="0"/>
        <w:adjustRightInd/>
        <w:snapToGrid w:val="0"/>
        <w:spacing w:line="560" w:lineRule="exact"/>
        <w:ind w:firstLine="420" w:firstLineChars="200"/>
        <w:textAlignment w:val="auto"/>
        <w:rPr>
          <w:rFonts w:ascii="宋体" w:hAnsi="宋体"/>
          <w:szCs w:val="21"/>
        </w:rPr>
      </w:pPr>
      <w:r>
        <w:rPr>
          <w:rFonts w:ascii="宋体" w:hAnsi="宋体"/>
          <w:szCs w:val="21"/>
        </w:rPr>
        <w:t>3</w:t>
      </w:r>
      <w:r>
        <w:rPr>
          <w:rFonts w:hint="eastAsia" w:ascii="宋体" w:hAnsi="宋体"/>
          <w:szCs w:val="21"/>
        </w:rPr>
        <w:t>、乙方提供不符合招投标文件和本合同规定的服务，甲方有权拒绝接受。</w:t>
      </w:r>
    </w:p>
    <w:p w14:paraId="20C7D8D0">
      <w:pPr>
        <w:pageBreakBefore w:val="0"/>
        <w:kinsoku/>
        <w:overflowPunct/>
        <w:topLinePunct w:val="0"/>
        <w:autoSpaceDE/>
        <w:autoSpaceDN/>
        <w:bidi w:val="0"/>
        <w:adjustRightInd/>
        <w:snapToGrid w:val="0"/>
        <w:spacing w:line="560" w:lineRule="exact"/>
        <w:ind w:firstLine="420" w:firstLineChars="200"/>
        <w:textAlignment w:val="auto"/>
        <w:rPr>
          <w:rFonts w:ascii="宋体" w:hAnsi="宋体"/>
          <w:szCs w:val="21"/>
        </w:rPr>
      </w:pPr>
      <w:r>
        <w:rPr>
          <w:rFonts w:ascii="宋体" w:hAnsi="宋体"/>
          <w:szCs w:val="21"/>
        </w:rPr>
        <w:t>4</w:t>
      </w:r>
      <w:r>
        <w:rPr>
          <w:rFonts w:hint="eastAsia" w:ascii="宋体" w:hAnsi="宋体"/>
          <w:szCs w:val="21"/>
        </w:rPr>
        <w:t>、</w:t>
      </w:r>
      <w:r>
        <w:rPr>
          <w:rFonts w:hint="eastAsia" w:ascii="宋体" w:hAnsi="宋体"/>
          <w:color w:val="FF0000"/>
          <w:szCs w:val="21"/>
        </w:rPr>
        <w:t>乙方负责按《项目执行计划》的要求，在90个工作日内面向最终用户完成项目需求调研、软件产品的安装部署、客户化开发、实施、试运行、质保服务等工作。</w:t>
      </w:r>
      <w:r>
        <w:rPr>
          <w:rFonts w:hint="eastAsia" w:ascii="宋体" w:hAnsi="宋体"/>
          <w:szCs w:val="21"/>
        </w:rPr>
        <w:t>甲方在乙方完成项目后七个工作日内进行验收，逾期不验收的，乙方可视同验收合格。验收合格后由双方签署验收单并加盖采购单位公章，甲乙双方各执一份。</w:t>
      </w:r>
    </w:p>
    <w:p w14:paraId="099966D5">
      <w:pPr>
        <w:pageBreakBefore w:val="0"/>
        <w:kinsoku/>
        <w:overflowPunct/>
        <w:topLinePunct w:val="0"/>
        <w:autoSpaceDE/>
        <w:autoSpaceDN/>
        <w:bidi w:val="0"/>
        <w:adjustRightInd/>
        <w:snapToGrid w:val="0"/>
        <w:spacing w:line="560" w:lineRule="exact"/>
        <w:ind w:firstLine="420" w:firstLineChars="200"/>
        <w:textAlignment w:val="auto"/>
        <w:rPr>
          <w:rFonts w:ascii="宋体" w:hAnsi="宋体"/>
          <w:szCs w:val="21"/>
        </w:rPr>
      </w:pPr>
      <w:r>
        <w:rPr>
          <w:rFonts w:ascii="宋体" w:hAnsi="宋体"/>
          <w:szCs w:val="21"/>
        </w:rPr>
        <w:t>4</w:t>
      </w:r>
      <w:r>
        <w:rPr>
          <w:rFonts w:hint="eastAsia" w:ascii="宋体" w:hAnsi="宋体"/>
          <w:szCs w:val="21"/>
        </w:rPr>
        <w:t>、甲方对验收有异议的，在验收后五个工作日内以书面形式向乙方提出，乙方应自收到甲方书面异议后5日内及时予以解决。</w:t>
      </w:r>
    </w:p>
    <w:p w14:paraId="16E3CC07">
      <w:pPr>
        <w:pageBreakBefore w:val="0"/>
        <w:kinsoku/>
        <w:overflowPunct/>
        <w:topLinePunct w:val="0"/>
        <w:autoSpaceDE/>
        <w:autoSpaceDN/>
        <w:bidi w:val="0"/>
        <w:adjustRightInd/>
        <w:snapToGrid w:val="0"/>
        <w:spacing w:line="560" w:lineRule="exact"/>
        <w:ind w:firstLine="420" w:firstLineChars="200"/>
        <w:textAlignment w:val="auto"/>
        <w:rPr>
          <w:rFonts w:ascii="宋体" w:hAnsi="宋体"/>
          <w:szCs w:val="21"/>
        </w:rPr>
      </w:pPr>
      <w:r>
        <w:rPr>
          <w:rFonts w:ascii="宋体" w:hAnsi="宋体"/>
          <w:szCs w:val="21"/>
        </w:rPr>
        <w:t>5</w:t>
      </w:r>
      <w:r>
        <w:rPr>
          <w:rFonts w:hint="eastAsia" w:ascii="宋体" w:hAnsi="宋体"/>
          <w:szCs w:val="21"/>
        </w:rPr>
        <w:t>、验收时乙方是否到现场参加验收，可根据甲方实际要求，验收完毕后作出验收结果报告。</w:t>
      </w:r>
    </w:p>
    <w:p w14:paraId="339EE7C3">
      <w:pPr>
        <w:pageBreakBefore w:val="0"/>
        <w:kinsoku/>
        <w:overflowPunct/>
        <w:topLinePunct w:val="0"/>
        <w:autoSpaceDE/>
        <w:autoSpaceDN/>
        <w:bidi w:val="0"/>
        <w:adjustRightInd/>
        <w:snapToGrid w:val="0"/>
        <w:spacing w:line="560" w:lineRule="exact"/>
        <w:ind w:firstLine="422" w:firstLineChars="200"/>
        <w:textAlignment w:val="auto"/>
        <w:rPr>
          <w:rFonts w:ascii="宋体" w:hAnsi="宋体"/>
          <w:b/>
          <w:szCs w:val="21"/>
        </w:rPr>
      </w:pPr>
      <w:r>
        <w:rPr>
          <w:rFonts w:hint="eastAsia" w:ascii="宋体" w:hAnsi="宋体"/>
          <w:b/>
          <w:szCs w:val="21"/>
        </w:rPr>
        <w:t>第五条、培训</w:t>
      </w:r>
    </w:p>
    <w:p w14:paraId="13F0B42E">
      <w:pPr>
        <w:pageBreakBefore w:val="0"/>
        <w:kinsoku/>
        <w:overflowPunct/>
        <w:topLinePunct w:val="0"/>
        <w:autoSpaceDE/>
        <w:autoSpaceDN/>
        <w:bidi w:val="0"/>
        <w:adjustRightInd/>
        <w:snapToGrid w:val="0"/>
        <w:spacing w:line="560" w:lineRule="exact"/>
        <w:ind w:firstLine="420" w:firstLineChars="200"/>
        <w:textAlignment w:val="auto"/>
        <w:rPr>
          <w:rFonts w:ascii="宋体" w:hAnsi="宋体"/>
          <w:bCs/>
          <w:szCs w:val="21"/>
        </w:rPr>
      </w:pPr>
      <w:r>
        <w:rPr>
          <w:rFonts w:hint="eastAsia" w:ascii="宋体" w:hAnsi="宋体"/>
          <w:szCs w:val="21"/>
        </w:rPr>
        <w:t>详见</w:t>
      </w:r>
      <w:r>
        <w:rPr>
          <w:rFonts w:hint="eastAsia" w:ascii="宋体" w:hAnsi="宋体"/>
        </w:rPr>
        <w:t>招标项目采购需求（乙方承诺优于需求的，按乙方承诺）</w:t>
      </w:r>
      <w:r>
        <w:rPr>
          <w:rFonts w:ascii="宋体" w:hAnsi="宋体"/>
          <w:szCs w:val="21"/>
        </w:rPr>
        <w:t>。</w:t>
      </w:r>
    </w:p>
    <w:p w14:paraId="14666D81">
      <w:pPr>
        <w:pageBreakBefore w:val="0"/>
        <w:kinsoku/>
        <w:overflowPunct/>
        <w:topLinePunct w:val="0"/>
        <w:autoSpaceDE/>
        <w:autoSpaceDN/>
        <w:bidi w:val="0"/>
        <w:adjustRightInd/>
        <w:snapToGrid w:val="0"/>
        <w:spacing w:line="560" w:lineRule="exact"/>
        <w:ind w:firstLine="422" w:firstLineChars="200"/>
        <w:textAlignment w:val="auto"/>
        <w:rPr>
          <w:rFonts w:hint="eastAsia" w:ascii="宋体" w:hAnsi="宋体"/>
          <w:b/>
          <w:szCs w:val="21"/>
        </w:rPr>
      </w:pPr>
      <w:r>
        <w:rPr>
          <w:rFonts w:hint="eastAsia" w:ascii="宋体" w:hAnsi="宋体"/>
          <w:b/>
          <w:szCs w:val="21"/>
        </w:rPr>
        <w:t>第六条、付款方式：</w:t>
      </w:r>
    </w:p>
    <w:p w14:paraId="4179120D">
      <w:pPr>
        <w:pageBreakBefore w:val="0"/>
        <w:kinsoku/>
        <w:overflowPunct/>
        <w:topLinePunct w:val="0"/>
        <w:autoSpaceDE/>
        <w:autoSpaceDN/>
        <w:bidi w:val="0"/>
        <w:adjustRightInd/>
        <w:snapToGrid w:val="0"/>
        <w:spacing w:line="560" w:lineRule="exact"/>
        <w:ind w:firstLine="420" w:firstLineChars="200"/>
        <w:textAlignment w:val="auto"/>
        <w:rPr>
          <w:rFonts w:hint="eastAsia" w:ascii="宋体" w:hAnsi="宋体"/>
          <w:szCs w:val="21"/>
          <w:highlight w:val="none"/>
        </w:rPr>
      </w:pPr>
      <w:r>
        <w:rPr>
          <w:rFonts w:hint="eastAsia" w:ascii="宋体" w:hAnsi="宋体"/>
          <w:szCs w:val="21"/>
          <w:highlight w:val="none"/>
        </w:rPr>
        <w:t>本合同价款总额为人民币</w:t>
      </w:r>
      <w:r>
        <w:rPr>
          <w:rFonts w:hint="eastAsia" w:ascii="宋体" w:hAnsi="宋体"/>
          <w:szCs w:val="21"/>
          <w:highlight w:val="none"/>
          <w:u w:val="single"/>
        </w:rPr>
        <w:t xml:space="preserve">      </w:t>
      </w:r>
      <w:r>
        <w:rPr>
          <w:rFonts w:hint="eastAsia" w:ascii="宋体" w:hAnsi="宋体"/>
          <w:szCs w:val="21"/>
          <w:highlight w:val="none"/>
        </w:rPr>
        <w:t>元整(小写：</w:t>
      </w:r>
      <w:r>
        <w:rPr>
          <w:rFonts w:hint="eastAsia" w:ascii="宋体" w:hAnsi="宋体"/>
          <w:szCs w:val="21"/>
          <w:highlight w:val="none"/>
          <w:u w:val="single"/>
        </w:rPr>
        <w:t xml:space="preserve">    </w:t>
      </w:r>
      <w:r>
        <w:rPr>
          <w:rFonts w:hint="eastAsia" w:ascii="宋体" w:hAnsi="宋体"/>
          <w:szCs w:val="21"/>
          <w:highlight w:val="none"/>
        </w:rPr>
        <w:t>元)，该费用总额包括了本合同约定的系统服务、试运行、运维服务、质保服务费用等。</w:t>
      </w:r>
    </w:p>
    <w:p w14:paraId="340BCB8A">
      <w:pPr>
        <w:pageBreakBefore w:val="0"/>
        <w:kinsoku/>
        <w:overflowPunct/>
        <w:topLinePunct w:val="0"/>
        <w:autoSpaceDE/>
        <w:autoSpaceDN/>
        <w:bidi w:val="0"/>
        <w:adjustRightInd/>
        <w:snapToGrid w:val="0"/>
        <w:spacing w:line="560" w:lineRule="exact"/>
        <w:ind w:firstLine="420" w:firstLineChars="200"/>
        <w:textAlignment w:val="auto"/>
        <w:rPr>
          <w:rFonts w:hint="eastAsia" w:ascii="宋体" w:hAnsi="宋体"/>
          <w:szCs w:val="21"/>
          <w:highlight w:val="none"/>
        </w:rPr>
      </w:pPr>
      <w:r>
        <w:rPr>
          <w:rFonts w:hint="eastAsia" w:ascii="宋体" w:hAnsi="宋体"/>
          <w:szCs w:val="21"/>
          <w:highlight w:val="none"/>
        </w:rPr>
        <w:t>3、甲方以最终用户向甲方采购的《统一应用融合门户平台》约定付款方式做相应约定并向乙方支付本合同价款：项目总额为</w:t>
      </w:r>
      <w:r>
        <w:rPr>
          <w:rFonts w:hint="eastAsia" w:ascii="宋体" w:hAnsi="宋体"/>
          <w:szCs w:val="21"/>
          <w:highlight w:val="none"/>
          <w:u w:val="single"/>
        </w:rPr>
        <w:t xml:space="preserve">              </w:t>
      </w:r>
      <w:r>
        <w:rPr>
          <w:rFonts w:hint="eastAsia" w:ascii="宋体" w:hAnsi="宋体"/>
          <w:szCs w:val="21"/>
          <w:highlight w:val="none"/>
        </w:rPr>
        <w:t>元（小写金额：￥</w:t>
      </w:r>
      <w:r>
        <w:rPr>
          <w:rFonts w:hint="eastAsia" w:ascii="宋体" w:hAnsi="宋体"/>
          <w:szCs w:val="21"/>
          <w:highlight w:val="none"/>
          <w:u w:val="single"/>
        </w:rPr>
        <w:t xml:space="preserve">         </w:t>
      </w:r>
      <w:r>
        <w:rPr>
          <w:rFonts w:hint="eastAsia" w:ascii="宋体" w:hAnsi="宋体"/>
          <w:szCs w:val="21"/>
          <w:highlight w:val="none"/>
        </w:rPr>
        <w:t>，含增值税,合同履行期内如遇国家调整增值税率，以含税价格为准，按照新的增值税率调整不含税价格，以下类同）。</w:t>
      </w:r>
    </w:p>
    <w:p w14:paraId="0F20CFA1">
      <w:pPr>
        <w:snapToGrid w:val="0"/>
        <w:spacing w:line="500" w:lineRule="exact"/>
        <w:ind w:firstLine="420" w:firstLineChars="200"/>
        <w:rPr>
          <w:rFonts w:hint="eastAsia" w:ascii="宋体" w:hAnsi="宋体"/>
          <w:color w:val="auto"/>
          <w:highlight w:val="none"/>
        </w:rPr>
      </w:pPr>
      <w:r>
        <w:rPr>
          <w:rFonts w:hint="eastAsia" w:ascii="宋体" w:hAnsi="宋体"/>
          <w:szCs w:val="21"/>
          <w:highlight w:val="none"/>
        </w:rPr>
        <w:t>（1）</w:t>
      </w:r>
      <w:r>
        <w:rPr>
          <w:rFonts w:hint="eastAsia" w:ascii="宋体" w:hAnsi="宋体"/>
          <w:color w:val="auto"/>
          <w:highlight w:val="none"/>
        </w:rPr>
        <w:t>项目验收款为项目总额85%，金额：为</w:t>
      </w:r>
      <w:r>
        <w:rPr>
          <w:rFonts w:hint="eastAsia" w:ascii="宋体" w:hAnsi="宋体"/>
          <w:color w:val="auto"/>
          <w:highlight w:val="none"/>
          <w:u w:val="single"/>
        </w:rPr>
        <w:t xml:space="preserve">       </w:t>
      </w:r>
      <w:r>
        <w:rPr>
          <w:rFonts w:hint="eastAsia" w:ascii="宋体" w:hAnsi="宋体"/>
          <w:color w:val="auto"/>
          <w:highlight w:val="none"/>
        </w:rPr>
        <w:t>整（小写：￥</w:t>
      </w:r>
      <w:r>
        <w:rPr>
          <w:rFonts w:hint="eastAsia" w:ascii="宋体" w:hAnsi="宋体"/>
          <w:color w:val="auto"/>
          <w:highlight w:val="none"/>
          <w:u w:val="single"/>
        </w:rPr>
        <w:t xml:space="preserve">        </w:t>
      </w:r>
      <w:r>
        <w:rPr>
          <w:rFonts w:hint="eastAsia" w:ascii="宋体" w:hAnsi="宋体"/>
          <w:color w:val="auto"/>
          <w:highlight w:val="none"/>
        </w:rPr>
        <w:t>）；项目验收一年后，支付</w:t>
      </w:r>
      <w:r>
        <w:rPr>
          <w:rFonts w:hint="eastAsia" w:ascii="宋体" w:hAnsi="宋体"/>
          <w:color w:val="auto"/>
          <w:highlight w:val="none"/>
          <w:lang w:val="en-US" w:eastAsia="zh-CN"/>
        </w:rPr>
        <w:t>质</w:t>
      </w:r>
      <w:r>
        <w:rPr>
          <w:rFonts w:hint="eastAsia" w:ascii="宋体" w:hAnsi="宋体"/>
          <w:color w:val="auto"/>
          <w:highlight w:val="none"/>
        </w:rPr>
        <w:t>保款，为项目总额</w:t>
      </w:r>
      <w:r>
        <w:rPr>
          <w:rFonts w:hint="eastAsia" w:ascii="宋体" w:hAnsi="宋体"/>
          <w:color w:val="auto"/>
          <w:highlight w:val="none"/>
          <w:lang w:val="en-US" w:eastAsia="zh-CN"/>
        </w:rPr>
        <w:t>5</w:t>
      </w:r>
      <w:r>
        <w:rPr>
          <w:rFonts w:hint="eastAsia" w:ascii="宋体" w:hAnsi="宋体"/>
          <w:color w:val="auto"/>
          <w:highlight w:val="none"/>
        </w:rPr>
        <w:t>%，金额：</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rPr>
        <w:t>（小写：￥</w:t>
      </w:r>
      <w:r>
        <w:rPr>
          <w:rFonts w:hint="eastAsia" w:ascii="宋体" w:hAnsi="宋体"/>
          <w:color w:val="auto"/>
          <w:highlight w:val="none"/>
          <w:u w:val="single"/>
        </w:rPr>
        <w:t xml:space="preserve">         </w:t>
      </w:r>
      <w:r>
        <w:rPr>
          <w:rFonts w:hint="eastAsia" w:ascii="宋体" w:hAnsi="宋体"/>
          <w:color w:val="auto"/>
          <w:highlight w:val="none"/>
        </w:rPr>
        <w:t>）；项目验收二年后，支付</w:t>
      </w:r>
      <w:r>
        <w:rPr>
          <w:rFonts w:hint="eastAsia" w:ascii="宋体" w:hAnsi="宋体"/>
          <w:color w:val="auto"/>
          <w:highlight w:val="none"/>
          <w:lang w:val="en-US" w:eastAsia="zh-CN"/>
        </w:rPr>
        <w:t>维</w:t>
      </w:r>
      <w:r>
        <w:rPr>
          <w:rFonts w:hint="eastAsia" w:ascii="宋体" w:hAnsi="宋体"/>
          <w:color w:val="auto"/>
          <w:highlight w:val="none"/>
        </w:rPr>
        <w:t>保款，为项目总额</w:t>
      </w:r>
      <w:r>
        <w:rPr>
          <w:rFonts w:hint="eastAsia" w:ascii="宋体" w:hAnsi="宋体"/>
          <w:color w:val="auto"/>
          <w:highlight w:val="none"/>
          <w:lang w:val="en-US" w:eastAsia="zh-CN"/>
        </w:rPr>
        <w:t xml:space="preserve">10 </w:t>
      </w:r>
      <w:r>
        <w:rPr>
          <w:rFonts w:hint="eastAsia" w:ascii="宋体" w:hAnsi="宋体"/>
          <w:color w:val="auto"/>
          <w:highlight w:val="none"/>
        </w:rPr>
        <w:t>%，</w:t>
      </w:r>
      <w:r>
        <w:rPr>
          <w:rFonts w:hint="eastAsia" w:ascii="宋体" w:hAnsi="宋体"/>
          <w:color w:val="auto"/>
          <w:highlight w:val="none"/>
          <w:lang w:val="en-US" w:eastAsia="zh-CN"/>
        </w:rPr>
        <w:t>分三年平均支付，</w:t>
      </w:r>
      <w:r>
        <w:rPr>
          <w:rFonts w:hint="eastAsia" w:ascii="宋体" w:hAnsi="宋体"/>
          <w:color w:val="auto"/>
          <w:highlight w:val="none"/>
        </w:rPr>
        <w:t>金额：为</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元整（小写：￥</w:t>
      </w:r>
      <w:r>
        <w:rPr>
          <w:rFonts w:hint="eastAsia" w:ascii="宋体" w:hAnsi="宋体"/>
          <w:color w:val="auto"/>
          <w:highlight w:val="none"/>
          <w:u w:val="single"/>
        </w:rPr>
        <w:t xml:space="preserve">         </w:t>
      </w:r>
      <w:r>
        <w:rPr>
          <w:rFonts w:hint="eastAsia" w:ascii="宋体" w:hAnsi="宋体"/>
          <w:color w:val="auto"/>
          <w:highlight w:val="none"/>
        </w:rPr>
        <w:t>）。</w:t>
      </w:r>
    </w:p>
    <w:p w14:paraId="6049028F">
      <w:pPr>
        <w:pageBreakBefore w:val="0"/>
        <w:kinsoku/>
        <w:overflowPunct/>
        <w:topLinePunct w:val="0"/>
        <w:autoSpaceDE/>
        <w:autoSpaceDN/>
        <w:bidi w:val="0"/>
        <w:adjustRightInd/>
        <w:snapToGrid w:val="0"/>
        <w:spacing w:line="560" w:lineRule="exact"/>
        <w:ind w:firstLine="420" w:firstLineChars="200"/>
        <w:textAlignment w:val="auto"/>
        <w:rPr>
          <w:rFonts w:hint="eastAsia" w:ascii="宋体" w:hAnsi="宋体"/>
          <w:szCs w:val="21"/>
          <w:highlight w:val="none"/>
        </w:rPr>
      </w:pPr>
      <w:r>
        <w:rPr>
          <w:rFonts w:hint="eastAsia" w:ascii="宋体" w:hAnsi="宋体"/>
          <w:szCs w:val="21"/>
          <w:highlight w:val="none"/>
        </w:rPr>
        <w:t>(2) 乙方须保证质保期内所提供的货物或服务成果在质量保证期内，因设计、工艺或材料的缺陷和其它质量原因造成的问题，由乙方负责免费修复；如最终用户服务器等硬件设备遭遇雷暴雨、火宅、漏电等非人为损坏损毁时，乙方有义务配合甲方进行免费修复，直至修复完成，甲方不再支付任何费用。</w:t>
      </w:r>
    </w:p>
    <w:p w14:paraId="006A311C">
      <w:pPr>
        <w:pageBreakBefore w:val="0"/>
        <w:kinsoku/>
        <w:overflowPunct/>
        <w:topLinePunct w:val="0"/>
        <w:autoSpaceDE/>
        <w:autoSpaceDN/>
        <w:bidi w:val="0"/>
        <w:adjustRightInd/>
        <w:snapToGrid w:val="0"/>
        <w:spacing w:line="560" w:lineRule="exact"/>
        <w:ind w:firstLine="420" w:firstLineChars="200"/>
        <w:textAlignment w:val="auto"/>
        <w:rPr>
          <w:rFonts w:hint="eastAsia" w:ascii="宋体" w:hAnsi="宋体"/>
          <w:szCs w:val="21"/>
          <w:highlight w:val="none"/>
        </w:rPr>
      </w:pPr>
      <w:r>
        <w:rPr>
          <w:rFonts w:hint="eastAsia" w:ascii="宋体" w:hAnsi="宋体"/>
          <w:szCs w:val="21"/>
          <w:highlight w:val="none"/>
        </w:rPr>
        <w:t>(3) 甲方付款时，乙方须向甲方提供与付款金额一致的发票给甲方，否则甲方有权迟延付款且不承担逾期付款的违约责任。</w:t>
      </w:r>
    </w:p>
    <w:p w14:paraId="3389A64A">
      <w:pPr>
        <w:pageBreakBefore w:val="0"/>
        <w:kinsoku/>
        <w:overflowPunct/>
        <w:topLinePunct w:val="0"/>
        <w:autoSpaceDE/>
        <w:autoSpaceDN/>
        <w:bidi w:val="0"/>
        <w:adjustRightInd/>
        <w:snapToGrid w:val="0"/>
        <w:spacing w:line="560" w:lineRule="exact"/>
        <w:ind w:firstLine="420" w:firstLineChars="200"/>
        <w:textAlignment w:val="auto"/>
        <w:rPr>
          <w:rFonts w:hint="eastAsia" w:ascii="宋体" w:hAnsi="宋体"/>
          <w:szCs w:val="21"/>
          <w:highlight w:val="none"/>
        </w:rPr>
      </w:pPr>
      <w:bookmarkStart w:id="0" w:name="_Hlk194002432"/>
      <w:r>
        <w:rPr>
          <w:rFonts w:hint="eastAsia" w:ascii="宋体" w:hAnsi="宋体"/>
          <w:szCs w:val="21"/>
          <w:highlight w:val="none"/>
        </w:rPr>
        <w:t>(4)</w:t>
      </w:r>
      <w:bookmarkEnd w:id="0"/>
      <w:r>
        <w:rPr>
          <w:rFonts w:hint="eastAsia" w:ascii="宋体" w:hAnsi="宋体"/>
          <w:szCs w:val="21"/>
          <w:highlight w:val="none"/>
        </w:rPr>
        <w:t>本合同执行中相关的一切税费均由乙方负担。甲方支付本合同价款时，有权要求乙方出具相应的正式发票。</w:t>
      </w:r>
    </w:p>
    <w:p w14:paraId="4291243D">
      <w:pPr>
        <w:pageBreakBefore w:val="0"/>
        <w:kinsoku/>
        <w:overflowPunct/>
        <w:topLinePunct w:val="0"/>
        <w:autoSpaceDE/>
        <w:autoSpaceDN/>
        <w:bidi w:val="0"/>
        <w:adjustRightInd/>
        <w:snapToGrid w:val="0"/>
        <w:spacing w:line="560" w:lineRule="exact"/>
        <w:ind w:firstLine="422" w:firstLineChars="200"/>
        <w:textAlignment w:val="auto"/>
        <w:rPr>
          <w:rFonts w:ascii="宋体" w:hAnsi="宋体"/>
          <w:b/>
          <w:szCs w:val="21"/>
        </w:rPr>
      </w:pPr>
      <w:r>
        <w:rPr>
          <w:rFonts w:hint="eastAsia" w:ascii="宋体" w:hAnsi="宋体"/>
          <w:b/>
          <w:szCs w:val="21"/>
        </w:rPr>
        <w:t>第七条、履约保证金</w:t>
      </w:r>
    </w:p>
    <w:p w14:paraId="5A29D40E">
      <w:pPr>
        <w:pageBreakBefore w:val="0"/>
        <w:kinsoku/>
        <w:overflowPunct/>
        <w:topLinePunct w:val="0"/>
        <w:autoSpaceDE/>
        <w:autoSpaceDN/>
        <w:bidi w:val="0"/>
        <w:adjustRightInd/>
        <w:snapToGrid w:val="0"/>
        <w:spacing w:line="560" w:lineRule="exact"/>
        <w:ind w:firstLine="420" w:firstLineChars="200"/>
        <w:textAlignment w:val="auto"/>
        <w:rPr>
          <w:rFonts w:hint="eastAsia" w:ascii="宋体" w:hAnsi="宋体"/>
          <w:color w:val="000000"/>
          <w:szCs w:val="21"/>
        </w:rPr>
      </w:pPr>
      <w:r>
        <w:rPr>
          <w:rFonts w:hint="eastAsia" w:ascii="宋体" w:hAnsi="宋体"/>
          <w:color w:val="000000"/>
          <w:szCs w:val="21"/>
        </w:rPr>
        <w:t>本项目无履约保证金。</w:t>
      </w:r>
    </w:p>
    <w:p w14:paraId="03FDB33D">
      <w:pPr>
        <w:pageBreakBefore w:val="0"/>
        <w:kinsoku/>
        <w:overflowPunct/>
        <w:topLinePunct w:val="0"/>
        <w:autoSpaceDE/>
        <w:autoSpaceDN/>
        <w:bidi w:val="0"/>
        <w:adjustRightInd/>
        <w:snapToGrid w:val="0"/>
        <w:spacing w:line="560" w:lineRule="exact"/>
        <w:ind w:left="420" w:leftChars="200"/>
        <w:textAlignment w:val="auto"/>
        <w:rPr>
          <w:rFonts w:ascii="宋体" w:hAnsi="宋体"/>
          <w:b/>
          <w:szCs w:val="21"/>
        </w:rPr>
      </w:pPr>
      <w:r>
        <w:rPr>
          <w:rFonts w:hint="eastAsia" w:ascii="宋体" w:hAnsi="宋体"/>
          <w:b/>
          <w:szCs w:val="21"/>
        </w:rPr>
        <w:t>第八条、税费</w:t>
      </w:r>
    </w:p>
    <w:p w14:paraId="6A65749B">
      <w:pPr>
        <w:pageBreakBefore w:val="0"/>
        <w:kinsoku/>
        <w:overflowPunct/>
        <w:topLinePunct w:val="0"/>
        <w:autoSpaceDE/>
        <w:autoSpaceDN/>
        <w:bidi w:val="0"/>
        <w:adjustRightInd/>
        <w:snapToGrid w:val="0"/>
        <w:spacing w:line="560" w:lineRule="exact"/>
        <w:ind w:firstLine="420" w:firstLineChars="200"/>
        <w:textAlignment w:val="auto"/>
        <w:rPr>
          <w:rFonts w:ascii="宋体" w:hAnsi="宋体"/>
          <w:szCs w:val="21"/>
        </w:rPr>
      </w:pPr>
      <w:r>
        <w:rPr>
          <w:rFonts w:hint="eastAsia" w:ascii="宋体" w:hAnsi="宋体"/>
          <w:szCs w:val="21"/>
        </w:rPr>
        <w:t>本合同执行中相关的一切税费均由乙方承担。</w:t>
      </w:r>
    </w:p>
    <w:p w14:paraId="2FCF964E">
      <w:pPr>
        <w:pageBreakBefore w:val="0"/>
        <w:kinsoku/>
        <w:overflowPunct/>
        <w:topLinePunct w:val="0"/>
        <w:autoSpaceDE/>
        <w:autoSpaceDN/>
        <w:bidi w:val="0"/>
        <w:adjustRightInd/>
        <w:snapToGrid w:val="0"/>
        <w:spacing w:line="560" w:lineRule="exact"/>
        <w:ind w:firstLine="422" w:firstLineChars="200"/>
        <w:textAlignment w:val="auto"/>
        <w:rPr>
          <w:rFonts w:ascii="宋体" w:hAnsi="宋体"/>
          <w:b/>
          <w:szCs w:val="21"/>
        </w:rPr>
      </w:pPr>
      <w:r>
        <w:rPr>
          <w:rFonts w:hint="eastAsia" w:ascii="宋体" w:hAnsi="宋体"/>
          <w:b/>
          <w:szCs w:val="21"/>
        </w:rPr>
        <w:t>第九条、违约责任</w:t>
      </w:r>
    </w:p>
    <w:p w14:paraId="545CBCA1">
      <w:pPr>
        <w:pageBreakBefore w:val="0"/>
        <w:kinsoku/>
        <w:overflowPunct/>
        <w:topLinePunct w:val="0"/>
        <w:autoSpaceDE/>
        <w:autoSpaceDN/>
        <w:bidi w:val="0"/>
        <w:adjustRightInd/>
        <w:snapToGrid w:val="0"/>
        <w:spacing w:line="560" w:lineRule="exact"/>
        <w:ind w:firstLine="420" w:firstLineChars="200"/>
        <w:textAlignment w:val="auto"/>
        <w:rPr>
          <w:rFonts w:ascii="宋体" w:hAnsi="宋体"/>
          <w:szCs w:val="21"/>
        </w:rPr>
      </w:pPr>
      <w:r>
        <w:rPr>
          <w:rFonts w:hint="eastAsia" w:ascii="宋体" w:hAnsi="宋体"/>
          <w:szCs w:val="21"/>
        </w:rPr>
        <w:t>1、乙方所提供的服务质量不合格的，应及时调整，调整不及时的按逾期交付处罚；因质量问题甲方不同意接收的或特殊情况甲方同意接收的，乙方应向甲方支付违约合同金额 5%违约金并赔偿甲方经济损失。</w:t>
      </w:r>
    </w:p>
    <w:p w14:paraId="42AF23CE">
      <w:pPr>
        <w:pageBreakBefore w:val="0"/>
        <w:kinsoku/>
        <w:overflowPunct/>
        <w:topLinePunct w:val="0"/>
        <w:autoSpaceDE/>
        <w:autoSpaceDN/>
        <w:bidi w:val="0"/>
        <w:adjustRightInd/>
        <w:snapToGrid w:val="0"/>
        <w:spacing w:line="560" w:lineRule="exact"/>
        <w:ind w:firstLine="420" w:firstLineChars="200"/>
        <w:textAlignment w:val="auto"/>
        <w:rPr>
          <w:rFonts w:ascii="宋体" w:hAnsi="宋体"/>
          <w:szCs w:val="21"/>
        </w:rPr>
      </w:pPr>
      <w:r>
        <w:rPr>
          <w:rFonts w:hint="eastAsia" w:ascii="宋体" w:hAnsi="宋体"/>
          <w:szCs w:val="21"/>
        </w:rPr>
        <w:t>2、乙方提供的服务如侵犯了第三方合法权益而引发的任何纠纷或诉讼，均由乙方负责交涉并承担全部责任。</w:t>
      </w:r>
    </w:p>
    <w:p w14:paraId="39896AF3">
      <w:pPr>
        <w:pageBreakBefore w:val="0"/>
        <w:kinsoku/>
        <w:overflowPunct/>
        <w:topLinePunct w:val="0"/>
        <w:autoSpaceDE/>
        <w:autoSpaceDN/>
        <w:bidi w:val="0"/>
        <w:adjustRightInd/>
        <w:snapToGrid w:val="0"/>
        <w:spacing w:line="560" w:lineRule="exact"/>
        <w:ind w:firstLine="420" w:firstLineChars="200"/>
        <w:textAlignment w:val="auto"/>
        <w:rPr>
          <w:rFonts w:ascii="宋体" w:hAnsi="宋体"/>
          <w:szCs w:val="21"/>
        </w:rPr>
      </w:pPr>
      <w:r>
        <w:rPr>
          <w:rFonts w:ascii="宋体" w:hAnsi="宋体"/>
          <w:szCs w:val="21"/>
        </w:rPr>
        <w:t>3</w:t>
      </w:r>
      <w:r>
        <w:rPr>
          <w:rFonts w:hint="eastAsia" w:ascii="宋体" w:hAnsi="宋体"/>
          <w:szCs w:val="21"/>
        </w:rPr>
        <w:t>、其它违约行为按违约合同额5%收取违约金并赔偿经济损失。</w:t>
      </w:r>
    </w:p>
    <w:p w14:paraId="4132E357">
      <w:pPr>
        <w:pageBreakBefore w:val="0"/>
        <w:kinsoku/>
        <w:overflowPunct/>
        <w:topLinePunct w:val="0"/>
        <w:autoSpaceDE/>
        <w:autoSpaceDN/>
        <w:bidi w:val="0"/>
        <w:adjustRightInd/>
        <w:snapToGrid w:val="0"/>
        <w:spacing w:line="560" w:lineRule="exact"/>
        <w:ind w:firstLine="422" w:firstLineChars="200"/>
        <w:textAlignment w:val="auto"/>
        <w:rPr>
          <w:rFonts w:ascii="宋体" w:hAnsi="宋体"/>
          <w:b/>
          <w:bCs/>
          <w:szCs w:val="21"/>
        </w:rPr>
      </w:pPr>
      <w:r>
        <w:rPr>
          <w:rFonts w:hint="eastAsia" w:ascii="宋体" w:hAnsi="宋体"/>
          <w:b/>
          <w:bCs/>
          <w:szCs w:val="21"/>
        </w:rPr>
        <w:t>第十条、知识产权</w:t>
      </w:r>
    </w:p>
    <w:p w14:paraId="7F6B2EBF">
      <w:pPr>
        <w:pageBreakBefore w:val="0"/>
        <w:kinsoku/>
        <w:overflowPunct/>
        <w:topLinePunct w:val="0"/>
        <w:autoSpaceDE/>
        <w:autoSpaceDN/>
        <w:bidi w:val="0"/>
        <w:adjustRightInd/>
        <w:snapToGrid w:val="0"/>
        <w:spacing w:line="560" w:lineRule="exact"/>
        <w:ind w:firstLine="420" w:firstLineChars="200"/>
        <w:textAlignment w:val="auto"/>
        <w:rPr>
          <w:rFonts w:hint="eastAsia" w:ascii="宋体" w:hAnsi="宋体"/>
          <w:color w:val="FF0000"/>
          <w:szCs w:val="21"/>
        </w:rPr>
      </w:pPr>
      <w:r>
        <w:rPr>
          <w:rFonts w:hint="eastAsia" w:ascii="宋体" w:hAnsi="宋体"/>
          <w:color w:val="FF0000"/>
          <w:szCs w:val="21"/>
        </w:rPr>
        <w:t>甲方采购的本合同服务仅限用于本项目建设，即最终用户仅限于在</w:t>
      </w:r>
      <w:r>
        <w:rPr>
          <w:rFonts w:hint="eastAsia" w:ascii="宋体" w:hAnsi="宋体"/>
          <w:color w:val="FF0000"/>
          <w:szCs w:val="21"/>
          <w:u w:val="single"/>
        </w:rPr>
        <w:t>广西警察学院</w:t>
      </w:r>
      <w:r>
        <w:rPr>
          <w:rFonts w:hint="eastAsia" w:ascii="宋体" w:hAnsi="宋体"/>
          <w:color w:val="FF0000"/>
          <w:szCs w:val="21"/>
        </w:rPr>
        <w:t>范围内享有本合同软件产品不可转让的、永久的许可使用权。</w:t>
      </w:r>
    </w:p>
    <w:p w14:paraId="2F6EAA29">
      <w:pPr>
        <w:pageBreakBefore w:val="0"/>
        <w:kinsoku/>
        <w:overflowPunct/>
        <w:topLinePunct w:val="0"/>
        <w:autoSpaceDE/>
        <w:autoSpaceDN/>
        <w:bidi w:val="0"/>
        <w:adjustRightInd/>
        <w:snapToGrid w:val="0"/>
        <w:spacing w:line="560" w:lineRule="exact"/>
        <w:ind w:firstLine="422" w:firstLineChars="200"/>
        <w:textAlignment w:val="auto"/>
        <w:rPr>
          <w:rFonts w:ascii="宋体" w:hAnsi="宋体"/>
          <w:b/>
          <w:szCs w:val="21"/>
        </w:rPr>
      </w:pPr>
      <w:r>
        <w:rPr>
          <w:rFonts w:hint="eastAsia" w:ascii="宋体" w:hAnsi="宋体"/>
          <w:b/>
          <w:szCs w:val="21"/>
        </w:rPr>
        <w:t>第十一条、不可抗力事件处理</w:t>
      </w:r>
    </w:p>
    <w:p w14:paraId="244F7C50">
      <w:pPr>
        <w:pageBreakBefore w:val="0"/>
        <w:kinsoku/>
        <w:overflowPunct/>
        <w:topLinePunct w:val="0"/>
        <w:autoSpaceDE/>
        <w:autoSpaceDN/>
        <w:bidi w:val="0"/>
        <w:adjustRightInd/>
        <w:snapToGrid w:val="0"/>
        <w:spacing w:line="560" w:lineRule="exact"/>
        <w:ind w:firstLine="420" w:firstLineChars="200"/>
        <w:textAlignment w:val="auto"/>
        <w:rPr>
          <w:rFonts w:ascii="宋体" w:hAnsi="宋体"/>
          <w:szCs w:val="21"/>
        </w:rPr>
      </w:pPr>
      <w:r>
        <w:rPr>
          <w:rFonts w:hint="eastAsia" w:ascii="宋体" w:hAnsi="宋体"/>
          <w:szCs w:val="21"/>
        </w:rPr>
        <w:t>1、在合同有效期内，任何一方因不可抗力事件导致不能履行合同，则合同履行期可延长，其延长期与不可抗力影响期相同。</w:t>
      </w:r>
    </w:p>
    <w:p w14:paraId="19571ADD">
      <w:pPr>
        <w:pageBreakBefore w:val="0"/>
        <w:kinsoku/>
        <w:overflowPunct/>
        <w:topLinePunct w:val="0"/>
        <w:autoSpaceDE/>
        <w:autoSpaceDN/>
        <w:bidi w:val="0"/>
        <w:adjustRightInd/>
        <w:snapToGrid w:val="0"/>
        <w:spacing w:line="560" w:lineRule="exact"/>
        <w:ind w:firstLine="420" w:firstLineChars="200"/>
        <w:textAlignment w:val="auto"/>
        <w:rPr>
          <w:rFonts w:ascii="宋体" w:hAnsi="宋体"/>
          <w:szCs w:val="21"/>
        </w:rPr>
      </w:pPr>
      <w:r>
        <w:rPr>
          <w:rFonts w:hint="eastAsia" w:ascii="宋体" w:hAnsi="宋体"/>
          <w:szCs w:val="21"/>
        </w:rPr>
        <w:t>2、不可抗力事件发生后，应立即通知对方，并寄送有关权威机构出具的证明。</w:t>
      </w:r>
    </w:p>
    <w:p w14:paraId="2CA93E4F">
      <w:pPr>
        <w:pageBreakBefore w:val="0"/>
        <w:kinsoku/>
        <w:overflowPunct/>
        <w:topLinePunct w:val="0"/>
        <w:autoSpaceDE/>
        <w:autoSpaceDN/>
        <w:bidi w:val="0"/>
        <w:adjustRightInd/>
        <w:snapToGrid w:val="0"/>
        <w:spacing w:line="560" w:lineRule="exact"/>
        <w:ind w:firstLine="420" w:firstLineChars="200"/>
        <w:textAlignment w:val="auto"/>
        <w:rPr>
          <w:rFonts w:ascii="宋体" w:hAnsi="宋体"/>
          <w:szCs w:val="21"/>
        </w:rPr>
      </w:pPr>
      <w:r>
        <w:rPr>
          <w:rFonts w:hint="eastAsia" w:ascii="宋体" w:hAnsi="宋体"/>
          <w:szCs w:val="21"/>
        </w:rPr>
        <w:t>3、不可抗力事件延续一百二十天以上，双方应通过友好协商，确定是否继续履行合同。</w:t>
      </w:r>
    </w:p>
    <w:p w14:paraId="0759ECF2">
      <w:pPr>
        <w:pageBreakBefore w:val="0"/>
        <w:kinsoku/>
        <w:overflowPunct/>
        <w:topLinePunct w:val="0"/>
        <w:autoSpaceDE/>
        <w:autoSpaceDN/>
        <w:bidi w:val="0"/>
        <w:adjustRightInd/>
        <w:snapToGrid w:val="0"/>
        <w:spacing w:line="560" w:lineRule="exact"/>
        <w:ind w:firstLine="422" w:firstLineChars="200"/>
        <w:textAlignment w:val="auto"/>
        <w:rPr>
          <w:rFonts w:ascii="宋体" w:hAnsi="宋体"/>
          <w:b/>
          <w:szCs w:val="21"/>
        </w:rPr>
      </w:pPr>
      <w:r>
        <w:rPr>
          <w:rFonts w:hint="eastAsia" w:ascii="宋体" w:hAnsi="宋体"/>
          <w:b/>
          <w:szCs w:val="21"/>
        </w:rPr>
        <w:t>第十二条、合同争议解决</w:t>
      </w:r>
    </w:p>
    <w:p w14:paraId="1D291159">
      <w:pPr>
        <w:pageBreakBefore w:val="0"/>
        <w:kinsoku/>
        <w:overflowPunct/>
        <w:topLinePunct w:val="0"/>
        <w:autoSpaceDE/>
        <w:autoSpaceDN/>
        <w:bidi w:val="0"/>
        <w:adjustRightInd/>
        <w:snapToGrid w:val="0"/>
        <w:spacing w:line="560" w:lineRule="exact"/>
        <w:ind w:firstLine="420" w:firstLineChars="200"/>
        <w:textAlignment w:val="auto"/>
        <w:rPr>
          <w:rFonts w:ascii="宋体" w:hAnsi="宋体"/>
          <w:szCs w:val="21"/>
        </w:rPr>
      </w:pPr>
      <w:r>
        <w:rPr>
          <w:rFonts w:hint="eastAsia" w:ascii="宋体" w:hAnsi="宋体"/>
          <w:szCs w:val="21"/>
        </w:rPr>
        <w:t>1、因服务质量问题发生争议的，应邀请国家认可的质量检测机构对货物质量进行鉴定。服务符合标准的，鉴定费由甲方承担；服务不符合标准的，鉴定费由乙方承担。</w:t>
      </w:r>
    </w:p>
    <w:p w14:paraId="5FE88434">
      <w:pPr>
        <w:pageBreakBefore w:val="0"/>
        <w:kinsoku/>
        <w:overflowPunct/>
        <w:topLinePunct w:val="0"/>
        <w:autoSpaceDE/>
        <w:autoSpaceDN/>
        <w:bidi w:val="0"/>
        <w:adjustRightInd/>
        <w:snapToGrid w:val="0"/>
        <w:spacing w:line="560" w:lineRule="exact"/>
        <w:ind w:firstLine="420" w:firstLineChars="200"/>
        <w:textAlignment w:val="auto"/>
        <w:rPr>
          <w:rFonts w:ascii="宋体" w:hAnsi="宋体"/>
          <w:szCs w:val="21"/>
        </w:rPr>
      </w:pPr>
      <w:r>
        <w:rPr>
          <w:rFonts w:hint="eastAsia" w:ascii="宋体" w:hAnsi="宋体"/>
          <w:szCs w:val="21"/>
        </w:rPr>
        <w:t>2、因履行本合同引起的或与本合同有关的争议，甲乙双方应首先通过友好协商解决，如果协商不能解决，可向甲方所在地人民法院提起诉讼。</w:t>
      </w:r>
    </w:p>
    <w:p w14:paraId="20A701E2">
      <w:pPr>
        <w:pageBreakBefore w:val="0"/>
        <w:kinsoku/>
        <w:overflowPunct/>
        <w:topLinePunct w:val="0"/>
        <w:autoSpaceDE/>
        <w:autoSpaceDN/>
        <w:bidi w:val="0"/>
        <w:adjustRightInd/>
        <w:snapToGrid w:val="0"/>
        <w:spacing w:line="560" w:lineRule="exact"/>
        <w:ind w:firstLine="420" w:firstLineChars="200"/>
        <w:textAlignment w:val="auto"/>
        <w:rPr>
          <w:rFonts w:ascii="宋体" w:hAnsi="宋体"/>
          <w:szCs w:val="21"/>
        </w:rPr>
      </w:pPr>
      <w:r>
        <w:rPr>
          <w:rFonts w:hint="eastAsia" w:ascii="宋体" w:hAnsi="宋体"/>
          <w:szCs w:val="21"/>
        </w:rPr>
        <w:t>3、诉讼期间，本合同继续履行。</w:t>
      </w:r>
    </w:p>
    <w:p w14:paraId="6FA28BB7">
      <w:pPr>
        <w:pageBreakBefore w:val="0"/>
        <w:kinsoku/>
        <w:overflowPunct/>
        <w:topLinePunct w:val="0"/>
        <w:autoSpaceDE/>
        <w:autoSpaceDN/>
        <w:bidi w:val="0"/>
        <w:adjustRightInd/>
        <w:snapToGrid w:val="0"/>
        <w:spacing w:line="560" w:lineRule="exact"/>
        <w:ind w:firstLine="422" w:firstLineChars="200"/>
        <w:textAlignment w:val="auto"/>
        <w:rPr>
          <w:rFonts w:ascii="宋体" w:hAnsi="宋体"/>
          <w:b/>
          <w:szCs w:val="21"/>
        </w:rPr>
      </w:pPr>
      <w:r>
        <w:rPr>
          <w:rFonts w:hint="eastAsia" w:ascii="宋体" w:hAnsi="宋体"/>
          <w:b/>
          <w:szCs w:val="21"/>
        </w:rPr>
        <w:t>第十三条、合同的变更、终止与转让</w:t>
      </w:r>
    </w:p>
    <w:p w14:paraId="71F76113">
      <w:pPr>
        <w:pageBreakBefore w:val="0"/>
        <w:kinsoku/>
        <w:overflowPunct/>
        <w:topLinePunct w:val="0"/>
        <w:autoSpaceDE/>
        <w:autoSpaceDN/>
        <w:bidi w:val="0"/>
        <w:adjustRightInd/>
        <w:snapToGrid w:val="0"/>
        <w:spacing w:line="560" w:lineRule="exact"/>
        <w:ind w:firstLine="420" w:firstLineChars="200"/>
        <w:textAlignment w:val="auto"/>
        <w:rPr>
          <w:rFonts w:ascii="宋体" w:hAnsi="宋体"/>
          <w:szCs w:val="21"/>
        </w:rPr>
      </w:pPr>
      <w:r>
        <w:rPr>
          <w:rFonts w:hint="eastAsia" w:ascii="宋体" w:hAnsi="宋体"/>
          <w:szCs w:val="21"/>
        </w:rPr>
        <w:t>1、除《中华人民共和国政府采购法》第五十条规定的情形外，本合同一经签订，甲乙双方不得擅自变更、中止或终止。</w:t>
      </w:r>
    </w:p>
    <w:p w14:paraId="33E6C547">
      <w:pPr>
        <w:pageBreakBefore w:val="0"/>
        <w:kinsoku/>
        <w:overflowPunct/>
        <w:topLinePunct w:val="0"/>
        <w:autoSpaceDE/>
        <w:autoSpaceDN/>
        <w:bidi w:val="0"/>
        <w:adjustRightInd/>
        <w:snapToGrid w:val="0"/>
        <w:spacing w:line="560" w:lineRule="exact"/>
        <w:ind w:firstLine="420" w:firstLineChars="200"/>
        <w:textAlignment w:val="auto"/>
        <w:rPr>
          <w:rFonts w:ascii="宋体" w:hAnsi="宋体"/>
          <w:szCs w:val="21"/>
        </w:rPr>
      </w:pPr>
      <w:r>
        <w:rPr>
          <w:rFonts w:hint="eastAsia" w:ascii="宋体" w:hAnsi="宋体"/>
          <w:szCs w:val="21"/>
        </w:rPr>
        <w:t>2、乙方不得擅自转让（无进口资格的供应商委托进口货物除外）其应履行的合同义务。</w:t>
      </w:r>
    </w:p>
    <w:p w14:paraId="0BFA5F13">
      <w:pPr>
        <w:pageBreakBefore w:val="0"/>
        <w:kinsoku/>
        <w:overflowPunct/>
        <w:topLinePunct w:val="0"/>
        <w:autoSpaceDE/>
        <w:autoSpaceDN/>
        <w:bidi w:val="0"/>
        <w:adjustRightInd/>
        <w:snapToGrid w:val="0"/>
        <w:spacing w:line="560" w:lineRule="exact"/>
        <w:ind w:firstLine="422" w:firstLineChars="200"/>
        <w:textAlignment w:val="auto"/>
        <w:rPr>
          <w:rFonts w:ascii="宋体" w:hAnsi="宋体"/>
          <w:b/>
          <w:szCs w:val="21"/>
        </w:rPr>
      </w:pPr>
      <w:r>
        <w:rPr>
          <w:rFonts w:hint="eastAsia" w:ascii="宋体" w:hAnsi="宋体"/>
          <w:b/>
          <w:szCs w:val="21"/>
        </w:rPr>
        <w:t>第十四条、合同生效及其它</w:t>
      </w:r>
    </w:p>
    <w:p w14:paraId="31EA441F">
      <w:pPr>
        <w:pageBreakBefore w:val="0"/>
        <w:kinsoku/>
        <w:overflowPunct/>
        <w:topLinePunct w:val="0"/>
        <w:autoSpaceDE/>
        <w:autoSpaceDN/>
        <w:bidi w:val="0"/>
        <w:adjustRightInd/>
        <w:snapToGrid w:val="0"/>
        <w:spacing w:line="560" w:lineRule="exact"/>
        <w:ind w:firstLine="420" w:firstLineChars="200"/>
        <w:textAlignment w:val="auto"/>
        <w:rPr>
          <w:rFonts w:ascii="宋体" w:hAnsi="宋体"/>
          <w:szCs w:val="21"/>
        </w:rPr>
      </w:pPr>
      <w:r>
        <w:rPr>
          <w:rFonts w:ascii="宋体" w:hAnsi="宋体"/>
          <w:szCs w:val="21"/>
        </w:rPr>
        <w:t>1</w:t>
      </w:r>
      <w:r>
        <w:rPr>
          <w:rFonts w:hint="eastAsia" w:ascii="宋体" w:hAnsi="宋体"/>
          <w:szCs w:val="21"/>
        </w:rPr>
        <w:t>、合同经双方法定代表人（负责人）或授权代表签字并加盖单位公章后生效。</w:t>
      </w:r>
    </w:p>
    <w:p w14:paraId="4A69A9D8">
      <w:pPr>
        <w:pageBreakBefore w:val="0"/>
        <w:kinsoku/>
        <w:overflowPunct/>
        <w:topLinePunct w:val="0"/>
        <w:autoSpaceDE/>
        <w:autoSpaceDN/>
        <w:bidi w:val="0"/>
        <w:adjustRightInd/>
        <w:snapToGrid w:val="0"/>
        <w:spacing w:line="560" w:lineRule="exact"/>
        <w:ind w:firstLine="420" w:firstLineChars="200"/>
        <w:textAlignment w:val="auto"/>
        <w:rPr>
          <w:rFonts w:ascii="宋体" w:hAnsi="宋体"/>
          <w:szCs w:val="21"/>
        </w:rPr>
      </w:pPr>
      <w:r>
        <w:rPr>
          <w:rFonts w:ascii="宋体" w:hAnsi="宋体"/>
          <w:szCs w:val="21"/>
        </w:rPr>
        <w:t>2</w:t>
      </w:r>
      <w:r>
        <w:rPr>
          <w:rFonts w:hint="eastAsia" w:ascii="宋体" w:hAnsi="宋体"/>
          <w:szCs w:val="21"/>
        </w:rPr>
        <w:t>、本合同未尽事宜，遵照《中国人民共和国民法典》有关条文执行。</w:t>
      </w:r>
    </w:p>
    <w:p w14:paraId="3CE23C43">
      <w:pPr>
        <w:pageBreakBefore w:val="0"/>
        <w:kinsoku/>
        <w:overflowPunct/>
        <w:topLinePunct w:val="0"/>
        <w:autoSpaceDE/>
        <w:autoSpaceDN/>
        <w:bidi w:val="0"/>
        <w:adjustRightInd/>
        <w:snapToGrid w:val="0"/>
        <w:spacing w:line="560" w:lineRule="exact"/>
        <w:ind w:firstLine="422" w:firstLineChars="200"/>
        <w:textAlignment w:val="auto"/>
        <w:rPr>
          <w:rFonts w:hint="eastAsia" w:ascii="宋体" w:hAnsi="宋体"/>
          <w:szCs w:val="21"/>
        </w:rPr>
      </w:pPr>
      <w:r>
        <w:rPr>
          <w:rFonts w:hint="eastAsia" w:ascii="宋体" w:hAnsi="宋体"/>
          <w:b/>
          <w:color w:val="000000"/>
          <w:szCs w:val="21"/>
        </w:rPr>
        <w:t>第十五条、</w:t>
      </w:r>
      <w:r>
        <w:rPr>
          <w:rFonts w:hint="eastAsia" w:ascii="宋体" w:hAnsi="宋体"/>
          <w:color w:val="000000"/>
          <w:szCs w:val="21"/>
        </w:rPr>
        <w:t xml:space="preserve">本合同一式肆份，，甲乙方各贰份，具有同等法律效力。  </w:t>
      </w:r>
    </w:p>
    <w:tbl>
      <w:tblPr>
        <w:tblStyle w:val="14"/>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9"/>
        <w:gridCol w:w="4417"/>
      </w:tblGrid>
      <w:tr w14:paraId="5CA32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5" w:hRule="atLeast"/>
          <w:jc w:val="center"/>
        </w:trPr>
        <w:tc>
          <w:tcPr>
            <w:tcW w:w="4339" w:type="dxa"/>
            <w:vAlign w:val="center"/>
          </w:tcPr>
          <w:p w14:paraId="6B89C820">
            <w:pPr>
              <w:pageBreakBefore w:val="0"/>
              <w:kinsoku/>
              <w:overflowPunct/>
              <w:topLinePunct w:val="0"/>
              <w:autoSpaceDE/>
              <w:autoSpaceDN/>
              <w:bidi w:val="0"/>
              <w:adjustRightInd/>
              <w:snapToGrid w:val="0"/>
              <w:spacing w:line="560" w:lineRule="exact"/>
              <w:textAlignment w:val="auto"/>
              <w:rPr>
                <w:rFonts w:hint="eastAsia" w:ascii="宋体" w:hAnsi="宋体"/>
                <w:szCs w:val="21"/>
              </w:rPr>
            </w:pPr>
          </w:p>
          <w:p w14:paraId="09730CAB">
            <w:pPr>
              <w:pageBreakBefore w:val="0"/>
              <w:kinsoku/>
              <w:overflowPunct/>
              <w:topLinePunct w:val="0"/>
              <w:autoSpaceDE/>
              <w:autoSpaceDN/>
              <w:bidi w:val="0"/>
              <w:adjustRightInd/>
              <w:snapToGrid w:val="0"/>
              <w:spacing w:line="560" w:lineRule="exact"/>
              <w:textAlignment w:val="auto"/>
              <w:rPr>
                <w:rFonts w:hint="eastAsia" w:ascii="宋体" w:hAnsi="宋体"/>
                <w:szCs w:val="21"/>
              </w:rPr>
            </w:pPr>
            <w:r>
              <w:rPr>
                <w:rFonts w:hint="eastAsia" w:ascii="宋体" w:hAnsi="宋体"/>
                <w:szCs w:val="21"/>
              </w:rPr>
              <w:t>甲方（章）：广西警察学院</w:t>
            </w:r>
          </w:p>
          <w:p w14:paraId="60AAE6D1">
            <w:pPr>
              <w:pageBreakBefore w:val="0"/>
              <w:kinsoku/>
              <w:overflowPunct/>
              <w:topLinePunct w:val="0"/>
              <w:autoSpaceDE/>
              <w:autoSpaceDN/>
              <w:bidi w:val="0"/>
              <w:adjustRightInd/>
              <w:snapToGrid w:val="0"/>
              <w:spacing w:line="560" w:lineRule="exact"/>
              <w:textAlignment w:val="auto"/>
              <w:rPr>
                <w:rFonts w:hint="eastAsia" w:ascii="宋体" w:hAnsi="宋体"/>
                <w:b/>
                <w:szCs w:val="21"/>
              </w:rPr>
            </w:pPr>
          </w:p>
          <w:p w14:paraId="5AB75C00">
            <w:pPr>
              <w:pageBreakBefore w:val="0"/>
              <w:kinsoku/>
              <w:overflowPunct/>
              <w:topLinePunct w:val="0"/>
              <w:autoSpaceDE/>
              <w:autoSpaceDN/>
              <w:bidi w:val="0"/>
              <w:adjustRightInd/>
              <w:snapToGrid w:val="0"/>
              <w:spacing w:line="560" w:lineRule="exact"/>
              <w:textAlignment w:val="auto"/>
              <w:rPr>
                <w:rFonts w:ascii="宋体" w:hAnsi="宋体"/>
                <w:szCs w:val="21"/>
              </w:rPr>
            </w:pPr>
          </w:p>
          <w:p w14:paraId="31B3D577">
            <w:pPr>
              <w:pageBreakBefore w:val="0"/>
              <w:kinsoku/>
              <w:overflowPunct/>
              <w:topLinePunct w:val="0"/>
              <w:autoSpaceDE/>
              <w:autoSpaceDN/>
              <w:bidi w:val="0"/>
              <w:adjustRightInd/>
              <w:snapToGrid w:val="0"/>
              <w:spacing w:line="560" w:lineRule="exact"/>
              <w:textAlignment w:val="auto"/>
              <w:rPr>
                <w:rFonts w:hint="eastAsia" w:ascii="宋体" w:hAnsi="宋体"/>
                <w:szCs w:val="21"/>
              </w:rPr>
            </w:pPr>
          </w:p>
          <w:p w14:paraId="2CABB9E7">
            <w:pPr>
              <w:pageBreakBefore w:val="0"/>
              <w:kinsoku/>
              <w:overflowPunct/>
              <w:topLinePunct w:val="0"/>
              <w:autoSpaceDE/>
              <w:autoSpaceDN/>
              <w:bidi w:val="0"/>
              <w:adjustRightInd/>
              <w:snapToGrid w:val="0"/>
              <w:spacing w:line="560" w:lineRule="exact"/>
              <w:ind w:firstLine="945" w:firstLineChars="450"/>
              <w:jc w:val="right"/>
              <w:textAlignment w:val="auto"/>
              <w:rPr>
                <w:rFonts w:ascii="宋体" w:hAnsi="宋体"/>
                <w:szCs w:val="21"/>
              </w:rPr>
            </w:pPr>
            <w:r>
              <w:rPr>
                <w:rFonts w:hint="eastAsia" w:ascii="宋体" w:hAnsi="宋体"/>
                <w:szCs w:val="21"/>
              </w:rPr>
              <w:t>年   月   日</w:t>
            </w:r>
          </w:p>
        </w:tc>
        <w:tc>
          <w:tcPr>
            <w:tcW w:w="4417" w:type="dxa"/>
            <w:vAlign w:val="center"/>
          </w:tcPr>
          <w:p w14:paraId="783AB523">
            <w:pPr>
              <w:pageBreakBefore w:val="0"/>
              <w:kinsoku/>
              <w:overflowPunct/>
              <w:topLinePunct w:val="0"/>
              <w:autoSpaceDE/>
              <w:autoSpaceDN/>
              <w:bidi w:val="0"/>
              <w:adjustRightInd/>
              <w:snapToGrid w:val="0"/>
              <w:spacing w:line="560" w:lineRule="exact"/>
              <w:textAlignment w:val="auto"/>
              <w:rPr>
                <w:rFonts w:ascii="宋体" w:hAnsi="宋体"/>
                <w:szCs w:val="21"/>
              </w:rPr>
            </w:pPr>
            <w:r>
              <w:rPr>
                <w:rFonts w:hint="eastAsia" w:ascii="宋体" w:hAnsi="宋体"/>
                <w:szCs w:val="21"/>
              </w:rPr>
              <w:t>乙方（章）：</w:t>
            </w:r>
          </w:p>
          <w:p w14:paraId="0BAB2B40">
            <w:pPr>
              <w:pageBreakBefore w:val="0"/>
              <w:kinsoku/>
              <w:overflowPunct/>
              <w:topLinePunct w:val="0"/>
              <w:autoSpaceDE/>
              <w:autoSpaceDN/>
              <w:bidi w:val="0"/>
              <w:adjustRightInd/>
              <w:snapToGrid w:val="0"/>
              <w:spacing w:line="560" w:lineRule="exact"/>
              <w:textAlignment w:val="auto"/>
              <w:rPr>
                <w:rFonts w:hint="eastAsia" w:ascii="宋体" w:hAnsi="宋体"/>
                <w:b/>
                <w:szCs w:val="21"/>
              </w:rPr>
            </w:pPr>
          </w:p>
          <w:p w14:paraId="64F8CC69">
            <w:pPr>
              <w:pageBreakBefore w:val="0"/>
              <w:kinsoku/>
              <w:overflowPunct/>
              <w:topLinePunct w:val="0"/>
              <w:autoSpaceDE/>
              <w:autoSpaceDN/>
              <w:bidi w:val="0"/>
              <w:adjustRightInd/>
              <w:snapToGrid w:val="0"/>
              <w:spacing w:line="560" w:lineRule="exact"/>
              <w:textAlignment w:val="auto"/>
              <w:rPr>
                <w:rFonts w:ascii="宋体" w:hAnsi="宋体"/>
                <w:b/>
                <w:szCs w:val="21"/>
              </w:rPr>
            </w:pPr>
          </w:p>
          <w:p w14:paraId="19B19237">
            <w:pPr>
              <w:pageBreakBefore w:val="0"/>
              <w:kinsoku/>
              <w:overflowPunct/>
              <w:topLinePunct w:val="0"/>
              <w:autoSpaceDE/>
              <w:autoSpaceDN/>
              <w:bidi w:val="0"/>
              <w:adjustRightInd/>
              <w:snapToGrid w:val="0"/>
              <w:spacing w:line="560" w:lineRule="exact"/>
              <w:jc w:val="right"/>
              <w:textAlignment w:val="auto"/>
              <w:rPr>
                <w:rFonts w:ascii="宋体" w:hAnsi="宋体"/>
                <w:szCs w:val="21"/>
              </w:rPr>
            </w:pPr>
            <w:r>
              <w:rPr>
                <w:rFonts w:hint="eastAsia" w:ascii="宋体" w:hAnsi="宋体"/>
                <w:szCs w:val="21"/>
              </w:rPr>
              <w:t>年   月   日</w:t>
            </w:r>
          </w:p>
        </w:tc>
      </w:tr>
      <w:tr w14:paraId="11AB5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exact"/>
          <w:jc w:val="center"/>
        </w:trPr>
        <w:tc>
          <w:tcPr>
            <w:tcW w:w="4339" w:type="dxa"/>
            <w:vAlign w:val="top"/>
          </w:tcPr>
          <w:p w14:paraId="6D60EE08">
            <w:pPr>
              <w:pageBreakBefore w:val="0"/>
              <w:kinsoku/>
              <w:overflowPunct/>
              <w:topLinePunct w:val="0"/>
              <w:autoSpaceDE/>
              <w:autoSpaceDN/>
              <w:bidi w:val="0"/>
              <w:adjustRightInd/>
              <w:snapToGrid w:val="0"/>
              <w:spacing w:line="560" w:lineRule="exact"/>
              <w:textAlignment w:val="auto"/>
              <w:rPr>
                <w:rFonts w:hint="eastAsia" w:ascii="宋体" w:hAnsi="宋体"/>
                <w:szCs w:val="21"/>
              </w:rPr>
            </w:pPr>
            <w:r>
              <w:rPr>
                <w:rFonts w:hint="eastAsia" w:ascii="宋体" w:hAnsi="宋体"/>
                <w:szCs w:val="21"/>
              </w:rPr>
              <w:t>单位地址：广西南宁市军堂路6号</w:t>
            </w:r>
          </w:p>
        </w:tc>
        <w:tc>
          <w:tcPr>
            <w:tcW w:w="4417" w:type="dxa"/>
            <w:vAlign w:val="top"/>
          </w:tcPr>
          <w:p w14:paraId="14882FF7">
            <w:pPr>
              <w:pageBreakBefore w:val="0"/>
              <w:kinsoku/>
              <w:overflowPunct/>
              <w:topLinePunct w:val="0"/>
              <w:autoSpaceDE/>
              <w:autoSpaceDN/>
              <w:bidi w:val="0"/>
              <w:adjustRightInd/>
              <w:snapToGrid w:val="0"/>
              <w:spacing w:line="560" w:lineRule="exact"/>
              <w:textAlignment w:val="auto"/>
              <w:rPr>
                <w:rFonts w:ascii="宋体" w:hAnsi="宋体"/>
                <w:szCs w:val="21"/>
              </w:rPr>
            </w:pPr>
            <w:r>
              <w:rPr>
                <w:rFonts w:hint="eastAsia" w:ascii="宋体" w:hAnsi="宋体"/>
                <w:szCs w:val="21"/>
              </w:rPr>
              <w:t>单位地址：</w:t>
            </w:r>
          </w:p>
        </w:tc>
      </w:tr>
      <w:tr w14:paraId="30B9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339" w:type="dxa"/>
            <w:vAlign w:val="center"/>
          </w:tcPr>
          <w:p w14:paraId="14C54682">
            <w:pPr>
              <w:pageBreakBefore w:val="0"/>
              <w:kinsoku/>
              <w:overflowPunct/>
              <w:topLinePunct w:val="0"/>
              <w:autoSpaceDE/>
              <w:autoSpaceDN/>
              <w:bidi w:val="0"/>
              <w:adjustRightInd/>
              <w:snapToGrid w:val="0"/>
              <w:spacing w:line="560" w:lineRule="exact"/>
              <w:textAlignment w:val="auto"/>
              <w:rPr>
                <w:rFonts w:ascii="宋体" w:hAnsi="宋体"/>
                <w:szCs w:val="21"/>
              </w:rPr>
            </w:pPr>
            <w:r>
              <w:rPr>
                <w:rFonts w:hint="eastAsia" w:ascii="宋体" w:hAnsi="宋体"/>
                <w:szCs w:val="21"/>
              </w:rPr>
              <w:t>法定代表人（负责人）：</w:t>
            </w:r>
          </w:p>
        </w:tc>
        <w:tc>
          <w:tcPr>
            <w:tcW w:w="4417" w:type="dxa"/>
            <w:vAlign w:val="center"/>
          </w:tcPr>
          <w:p w14:paraId="58F287C1">
            <w:pPr>
              <w:pageBreakBefore w:val="0"/>
              <w:kinsoku/>
              <w:overflowPunct/>
              <w:topLinePunct w:val="0"/>
              <w:autoSpaceDE/>
              <w:autoSpaceDN/>
              <w:bidi w:val="0"/>
              <w:adjustRightInd/>
              <w:snapToGrid w:val="0"/>
              <w:spacing w:line="560" w:lineRule="exact"/>
              <w:textAlignment w:val="auto"/>
              <w:rPr>
                <w:rFonts w:ascii="宋体" w:hAnsi="宋体"/>
                <w:szCs w:val="21"/>
              </w:rPr>
            </w:pPr>
            <w:r>
              <w:rPr>
                <w:rFonts w:hint="eastAsia" w:ascii="宋体" w:hAnsi="宋体"/>
                <w:szCs w:val="21"/>
              </w:rPr>
              <w:t>法定代表人（负责人）：</w:t>
            </w:r>
          </w:p>
        </w:tc>
      </w:tr>
      <w:tr w14:paraId="13FC0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339" w:type="dxa"/>
            <w:vAlign w:val="center"/>
          </w:tcPr>
          <w:p w14:paraId="0AE626B9">
            <w:pPr>
              <w:pageBreakBefore w:val="0"/>
              <w:kinsoku/>
              <w:overflowPunct/>
              <w:topLinePunct w:val="0"/>
              <w:autoSpaceDE/>
              <w:autoSpaceDN/>
              <w:bidi w:val="0"/>
              <w:adjustRightInd/>
              <w:snapToGrid w:val="0"/>
              <w:spacing w:line="560" w:lineRule="exact"/>
              <w:textAlignment w:val="auto"/>
              <w:rPr>
                <w:rFonts w:ascii="宋体" w:hAnsi="宋体"/>
                <w:szCs w:val="21"/>
              </w:rPr>
            </w:pPr>
            <w:r>
              <w:rPr>
                <w:rFonts w:hint="eastAsia" w:ascii="宋体" w:hAnsi="宋体"/>
                <w:szCs w:val="21"/>
              </w:rPr>
              <w:t>委托代理人：</w:t>
            </w:r>
          </w:p>
        </w:tc>
        <w:tc>
          <w:tcPr>
            <w:tcW w:w="4417" w:type="dxa"/>
            <w:vAlign w:val="center"/>
          </w:tcPr>
          <w:p w14:paraId="28D0673E">
            <w:pPr>
              <w:pageBreakBefore w:val="0"/>
              <w:kinsoku/>
              <w:overflowPunct/>
              <w:topLinePunct w:val="0"/>
              <w:autoSpaceDE/>
              <w:autoSpaceDN/>
              <w:bidi w:val="0"/>
              <w:adjustRightInd/>
              <w:snapToGrid w:val="0"/>
              <w:spacing w:line="560" w:lineRule="exact"/>
              <w:textAlignment w:val="auto"/>
              <w:rPr>
                <w:rFonts w:ascii="宋体" w:hAnsi="宋体"/>
                <w:szCs w:val="21"/>
              </w:rPr>
            </w:pPr>
            <w:r>
              <w:rPr>
                <w:rFonts w:hint="eastAsia" w:ascii="宋体" w:hAnsi="宋体"/>
                <w:szCs w:val="21"/>
              </w:rPr>
              <w:t>委托代理人：</w:t>
            </w:r>
          </w:p>
        </w:tc>
      </w:tr>
      <w:tr w14:paraId="22868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339" w:type="dxa"/>
            <w:vAlign w:val="center"/>
          </w:tcPr>
          <w:p w14:paraId="3C595823">
            <w:pPr>
              <w:pageBreakBefore w:val="0"/>
              <w:kinsoku/>
              <w:overflowPunct/>
              <w:topLinePunct w:val="0"/>
              <w:autoSpaceDE/>
              <w:autoSpaceDN/>
              <w:bidi w:val="0"/>
              <w:adjustRightInd/>
              <w:snapToGrid w:val="0"/>
              <w:spacing w:line="560" w:lineRule="exact"/>
              <w:textAlignment w:val="auto"/>
              <w:rPr>
                <w:rFonts w:ascii="宋体" w:hAnsi="宋体"/>
                <w:szCs w:val="21"/>
              </w:rPr>
            </w:pPr>
            <w:r>
              <w:rPr>
                <w:rFonts w:hint="eastAsia" w:ascii="宋体" w:hAnsi="宋体"/>
                <w:szCs w:val="21"/>
              </w:rPr>
              <w:t>电话</w:t>
            </w:r>
            <w:r>
              <w:rPr>
                <w:rFonts w:hint="eastAsia" w:ascii="宋体" w:hAnsi="宋体"/>
                <w:color w:val="000000"/>
                <w:szCs w:val="21"/>
              </w:rPr>
              <w:t>：</w:t>
            </w:r>
          </w:p>
        </w:tc>
        <w:tc>
          <w:tcPr>
            <w:tcW w:w="4417" w:type="dxa"/>
            <w:vAlign w:val="center"/>
          </w:tcPr>
          <w:p w14:paraId="64A86C22">
            <w:pPr>
              <w:pageBreakBefore w:val="0"/>
              <w:kinsoku/>
              <w:overflowPunct/>
              <w:topLinePunct w:val="0"/>
              <w:autoSpaceDE/>
              <w:autoSpaceDN/>
              <w:bidi w:val="0"/>
              <w:adjustRightInd/>
              <w:snapToGrid w:val="0"/>
              <w:spacing w:line="560" w:lineRule="exact"/>
              <w:textAlignment w:val="auto"/>
              <w:rPr>
                <w:rFonts w:ascii="宋体" w:hAnsi="宋体"/>
                <w:szCs w:val="21"/>
              </w:rPr>
            </w:pPr>
            <w:r>
              <w:rPr>
                <w:rFonts w:hint="eastAsia" w:ascii="宋体" w:hAnsi="宋体"/>
                <w:szCs w:val="21"/>
              </w:rPr>
              <w:t>电话：</w:t>
            </w:r>
          </w:p>
        </w:tc>
      </w:tr>
      <w:tr w14:paraId="69489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339" w:type="dxa"/>
            <w:vAlign w:val="center"/>
          </w:tcPr>
          <w:p w14:paraId="427DB8FB">
            <w:pPr>
              <w:pageBreakBefore w:val="0"/>
              <w:kinsoku/>
              <w:overflowPunct/>
              <w:topLinePunct w:val="0"/>
              <w:autoSpaceDE/>
              <w:autoSpaceDN/>
              <w:bidi w:val="0"/>
              <w:adjustRightInd/>
              <w:snapToGrid w:val="0"/>
              <w:spacing w:line="560" w:lineRule="exact"/>
              <w:textAlignment w:val="auto"/>
              <w:rPr>
                <w:rFonts w:ascii="宋体" w:hAnsi="宋体"/>
                <w:szCs w:val="21"/>
              </w:rPr>
            </w:pPr>
            <w:r>
              <w:rPr>
                <w:rFonts w:hint="eastAsia" w:ascii="宋体" w:hAnsi="宋体"/>
                <w:szCs w:val="21"/>
              </w:rPr>
              <w:t>电子邮箱：</w:t>
            </w:r>
          </w:p>
        </w:tc>
        <w:tc>
          <w:tcPr>
            <w:tcW w:w="4417" w:type="dxa"/>
            <w:vAlign w:val="center"/>
          </w:tcPr>
          <w:p w14:paraId="31F99480">
            <w:pPr>
              <w:pageBreakBefore w:val="0"/>
              <w:kinsoku/>
              <w:overflowPunct/>
              <w:topLinePunct w:val="0"/>
              <w:autoSpaceDE/>
              <w:autoSpaceDN/>
              <w:bidi w:val="0"/>
              <w:adjustRightInd/>
              <w:snapToGrid w:val="0"/>
              <w:spacing w:line="560" w:lineRule="exact"/>
              <w:textAlignment w:val="auto"/>
              <w:rPr>
                <w:rFonts w:ascii="宋体" w:hAnsi="宋体"/>
                <w:szCs w:val="21"/>
              </w:rPr>
            </w:pPr>
            <w:r>
              <w:rPr>
                <w:rFonts w:hint="eastAsia" w:ascii="宋体" w:hAnsi="宋体"/>
                <w:szCs w:val="21"/>
              </w:rPr>
              <w:t>电子邮箱：</w:t>
            </w:r>
          </w:p>
        </w:tc>
      </w:tr>
      <w:tr w14:paraId="2DF03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exact"/>
          <w:jc w:val="center"/>
        </w:trPr>
        <w:tc>
          <w:tcPr>
            <w:tcW w:w="4339" w:type="dxa"/>
            <w:vAlign w:val="center"/>
          </w:tcPr>
          <w:p w14:paraId="39887E32">
            <w:pPr>
              <w:pageBreakBefore w:val="0"/>
              <w:kinsoku/>
              <w:overflowPunct/>
              <w:topLinePunct w:val="0"/>
              <w:autoSpaceDE/>
              <w:autoSpaceDN/>
              <w:bidi w:val="0"/>
              <w:adjustRightInd/>
              <w:snapToGrid w:val="0"/>
              <w:spacing w:line="560" w:lineRule="exact"/>
              <w:textAlignment w:val="auto"/>
              <w:rPr>
                <w:rFonts w:ascii="宋体" w:hAnsi="宋体"/>
                <w:szCs w:val="21"/>
              </w:rPr>
            </w:pPr>
            <w:r>
              <w:rPr>
                <w:rFonts w:hint="eastAsia" w:ascii="宋体" w:hAnsi="宋体"/>
                <w:szCs w:val="21"/>
              </w:rPr>
              <w:t>开户银行：</w:t>
            </w:r>
          </w:p>
        </w:tc>
        <w:tc>
          <w:tcPr>
            <w:tcW w:w="4417" w:type="dxa"/>
            <w:vAlign w:val="center"/>
          </w:tcPr>
          <w:p w14:paraId="0935132D">
            <w:pPr>
              <w:pageBreakBefore w:val="0"/>
              <w:kinsoku/>
              <w:overflowPunct/>
              <w:topLinePunct w:val="0"/>
              <w:autoSpaceDE/>
              <w:autoSpaceDN/>
              <w:bidi w:val="0"/>
              <w:adjustRightInd/>
              <w:snapToGrid w:val="0"/>
              <w:spacing w:line="560" w:lineRule="exact"/>
              <w:textAlignment w:val="auto"/>
              <w:rPr>
                <w:rFonts w:ascii="宋体" w:hAnsi="宋体"/>
                <w:szCs w:val="21"/>
              </w:rPr>
            </w:pPr>
            <w:r>
              <w:rPr>
                <w:rFonts w:hint="eastAsia" w:ascii="宋体" w:hAnsi="宋体"/>
                <w:szCs w:val="21"/>
              </w:rPr>
              <w:t>开户银行：</w:t>
            </w:r>
          </w:p>
        </w:tc>
      </w:tr>
      <w:tr w14:paraId="51793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339" w:type="dxa"/>
            <w:vAlign w:val="center"/>
          </w:tcPr>
          <w:p w14:paraId="54F9C28A">
            <w:pPr>
              <w:pageBreakBefore w:val="0"/>
              <w:kinsoku/>
              <w:overflowPunct/>
              <w:topLinePunct w:val="0"/>
              <w:autoSpaceDE/>
              <w:autoSpaceDN/>
              <w:bidi w:val="0"/>
              <w:adjustRightInd/>
              <w:snapToGrid w:val="0"/>
              <w:spacing w:line="560" w:lineRule="exact"/>
              <w:textAlignment w:val="auto"/>
              <w:rPr>
                <w:rFonts w:ascii="宋体" w:hAnsi="宋体"/>
                <w:szCs w:val="21"/>
              </w:rPr>
            </w:pPr>
            <w:r>
              <w:rPr>
                <w:rFonts w:hint="eastAsia" w:ascii="宋体" w:hAnsi="宋体"/>
                <w:szCs w:val="21"/>
              </w:rPr>
              <w:t>账号：</w:t>
            </w:r>
          </w:p>
        </w:tc>
        <w:tc>
          <w:tcPr>
            <w:tcW w:w="4417" w:type="dxa"/>
            <w:vAlign w:val="center"/>
          </w:tcPr>
          <w:p w14:paraId="5C756470">
            <w:pPr>
              <w:pageBreakBefore w:val="0"/>
              <w:kinsoku/>
              <w:overflowPunct/>
              <w:topLinePunct w:val="0"/>
              <w:autoSpaceDE/>
              <w:autoSpaceDN/>
              <w:bidi w:val="0"/>
              <w:adjustRightInd/>
              <w:snapToGrid w:val="0"/>
              <w:spacing w:line="560" w:lineRule="exact"/>
              <w:textAlignment w:val="auto"/>
              <w:rPr>
                <w:rFonts w:ascii="宋体" w:hAnsi="宋体"/>
                <w:szCs w:val="21"/>
              </w:rPr>
            </w:pPr>
            <w:r>
              <w:rPr>
                <w:rFonts w:hint="eastAsia" w:ascii="宋体" w:hAnsi="宋体"/>
                <w:szCs w:val="21"/>
              </w:rPr>
              <w:t>账号：</w:t>
            </w:r>
          </w:p>
        </w:tc>
      </w:tr>
      <w:tr w14:paraId="5FF61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339" w:type="dxa"/>
            <w:vAlign w:val="center"/>
          </w:tcPr>
          <w:p w14:paraId="77D3DC62">
            <w:pPr>
              <w:pageBreakBefore w:val="0"/>
              <w:kinsoku/>
              <w:overflowPunct/>
              <w:topLinePunct w:val="0"/>
              <w:autoSpaceDE/>
              <w:autoSpaceDN/>
              <w:bidi w:val="0"/>
              <w:adjustRightInd/>
              <w:snapToGrid w:val="0"/>
              <w:spacing w:line="560" w:lineRule="exact"/>
              <w:textAlignment w:val="auto"/>
              <w:rPr>
                <w:rFonts w:ascii="宋体" w:hAnsi="宋体"/>
                <w:szCs w:val="21"/>
              </w:rPr>
            </w:pPr>
            <w:r>
              <w:rPr>
                <w:rFonts w:hint="eastAsia" w:ascii="宋体" w:hAnsi="宋体"/>
                <w:szCs w:val="21"/>
              </w:rPr>
              <w:t>邮政编码：</w:t>
            </w:r>
          </w:p>
        </w:tc>
        <w:tc>
          <w:tcPr>
            <w:tcW w:w="4417" w:type="dxa"/>
            <w:vAlign w:val="center"/>
          </w:tcPr>
          <w:p w14:paraId="3FBF52B2">
            <w:pPr>
              <w:pageBreakBefore w:val="0"/>
              <w:kinsoku/>
              <w:overflowPunct/>
              <w:topLinePunct w:val="0"/>
              <w:autoSpaceDE/>
              <w:autoSpaceDN/>
              <w:bidi w:val="0"/>
              <w:adjustRightInd/>
              <w:snapToGrid w:val="0"/>
              <w:spacing w:line="560" w:lineRule="exact"/>
              <w:textAlignment w:val="auto"/>
              <w:rPr>
                <w:rFonts w:ascii="宋体" w:hAnsi="宋体"/>
                <w:szCs w:val="21"/>
              </w:rPr>
            </w:pPr>
            <w:r>
              <w:rPr>
                <w:rFonts w:hint="eastAsia" w:ascii="宋体" w:hAnsi="宋体"/>
                <w:szCs w:val="21"/>
              </w:rPr>
              <w:t>邮政编码：</w:t>
            </w:r>
          </w:p>
        </w:tc>
      </w:tr>
    </w:tbl>
    <w:p w14:paraId="0CC9343D">
      <w:pPr>
        <w:pStyle w:val="2"/>
        <w:pageBreakBefore w:val="0"/>
        <w:shd w:val="clear"/>
        <w:kinsoku/>
        <w:overflowPunct/>
        <w:topLinePunct w:val="0"/>
        <w:autoSpaceDE/>
        <w:autoSpaceDN/>
        <w:bidi w:val="0"/>
        <w:adjustRightInd/>
        <w:spacing w:line="560" w:lineRule="exact"/>
        <w:textAlignment w:val="auto"/>
        <w:rPr>
          <w:rFonts w:hint="default"/>
          <w:highlight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151369B-A4E6-40E1-9B73-0E5D488D83B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公文小标宋">
    <w:panose1 w:val="02000500000000000000"/>
    <w:charset w:val="86"/>
    <w:family w:val="auto"/>
    <w:pitch w:val="default"/>
    <w:sig w:usb0="A00002BF" w:usb1="38CF7CFA" w:usb2="00000016" w:usb3="00000000" w:csb0="00040001" w:csb1="00000000"/>
    <w:embedRegular r:id="rId2" w:fontKey="{AFD96C81-5873-4D73-A1E9-B6B48F4E9E42}"/>
  </w:font>
  <w:font w:name="华文楷体">
    <w:panose1 w:val="02010600040101010101"/>
    <w:charset w:val="86"/>
    <w:family w:val="auto"/>
    <w:pitch w:val="default"/>
    <w:sig w:usb0="00000287" w:usb1="080F0000" w:usb2="00000000" w:usb3="00000000" w:csb0="0004009F" w:csb1="DFD70000"/>
    <w:embedRegular r:id="rId3" w:fontKey="{02B1DC32-F762-4B21-981F-881B5EAD8360}"/>
  </w:font>
  <w:font w:name="仿宋_GB2312">
    <w:panose1 w:val="02010609030101010101"/>
    <w:charset w:val="86"/>
    <w:family w:val="auto"/>
    <w:pitch w:val="default"/>
    <w:sig w:usb0="00000001" w:usb1="080E0000" w:usb2="00000000" w:usb3="00000000" w:csb0="00040000" w:csb1="00000000"/>
    <w:embedRegular r:id="rId4" w:fontKey="{C5CFDFC0-4A71-4A36-A790-1C48673F5238}"/>
  </w:font>
  <w:font w:name="微软雅黑">
    <w:panose1 w:val="020B0503020204020204"/>
    <w:charset w:val="86"/>
    <w:family w:val="auto"/>
    <w:pitch w:val="default"/>
    <w:sig w:usb0="80000287" w:usb1="2ACF3C50" w:usb2="00000016" w:usb3="00000000" w:csb0="0004001F" w:csb1="00000000"/>
    <w:embedRegular r:id="rId5" w:fontKey="{CE1413BF-40C1-4F16-85F5-3BE2CFDB8A3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38FF3">
    <w:pPr>
      <w:spacing w:line="200" w:lineRule="exact"/>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5519BB">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17</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095519BB">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17</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29B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4FE71D"/>
    <w:multiLevelType w:val="singleLevel"/>
    <w:tmpl w:val="DC4FE71D"/>
    <w:lvl w:ilvl="0" w:tentative="0">
      <w:start w:val="1"/>
      <w:numFmt w:val="decimal"/>
      <w:lvlText w:val="%1."/>
      <w:lvlJc w:val="left"/>
      <w:pPr>
        <w:tabs>
          <w:tab w:val="left" w:pos="312"/>
        </w:tabs>
      </w:pPr>
    </w:lvl>
  </w:abstractNum>
  <w:abstractNum w:abstractNumId="1">
    <w:nsid w:val="515A9790"/>
    <w:multiLevelType w:val="singleLevel"/>
    <w:tmpl w:val="515A9790"/>
    <w:lvl w:ilvl="0" w:tentative="0">
      <w:start w:val="1"/>
      <w:numFmt w:val="chineseCounting"/>
      <w:suff w:val="nothing"/>
      <w:lvlText w:val="%1、"/>
      <w:lvlJc w:val="left"/>
      <w:pPr>
        <w:ind w:left="-412"/>
      </w:pPr>
      <w:rPr>
        <w:rFonts w:hint="eastAsia"/>
      </w:rPr>
    </w:lvl>
  </w:abstractNum>
  <w:abstractNum w:abstractNumId="2">
    <w:nsid w:val="57B29756"/>
    <w:multiLevelType w:val="singleLevel"/>
    <w:tmpl w:val="57B29756"/>
    <w:lvl w:ilvl="0" w:tentative="0">
      <w:start w:val="3"/>
      <w:numFmt w:val="chineseCounting"/>
      <w:suff w:val="nothing"/>
      <w:lvlText w:val="（%1）"/>
      <w:lvlJc w:val="left"/>
      <w:rPr>
        <w:rFonts w:hint="eastAsia"/>
      </w:rPr>
    </w:lvl>
  </w:abstractNum>
  <w:abstractNum w:abstractNumId="3">
    <w:nsid w:val="6229ACCD"/>
    <w:multiLevelType w:val="singleLevel"/>
    <w:tmpl w:val="6229ACCD"/>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NjFiZGUwYzY0ZWJlOTc0MDY4MmEyMmI0MDBhNjEifQ=="/>
  </w:docVars>
  <w:rsids>
    <w:rsidRoot w:val="005A21AF"/>
    <w:rsid w:val="00012BBE"/>
    <w:rsid w:val="00026703"/>
    <w:rsid w:val="00026B22"/>
    <w:rsid w:val="000436AD"/>
    <w:rsid w:val="00044143"/>
    <w:rsid w:val="000548C9"/>
    <w:rsid w:val="0009132D"/>
    <w:rsid w:val="000A6D6B"/>
    <w:rsid w:val="000B254F"/>
    <w:rsid w:val="000D5DE4"/>
    <w:rsid w:val="000F577F"/>
    <w:rsid w:val="000F72CA"/>
    <w:rsid w:val="00132502"/>
    <w:rsid w:val="00132550"/>
    <w:rsid w:val="001410CD"/>
    <w:rsid w:val="001470E8"/>
    <w:rsid w:val="001657EC"/>
    <w:rsid w:val="00192CC0"/>
    <w:rsid w:val="001E5547"/>
    <w:rsid w:val="001E614F"/>
    <w:rsid w:val="001F1148"/>
    <w:rsid w:val="00207F9D"/>
    <w:rsid w:val="002268A6"/>
    <w:rsid w:val="0023231A"/>
    <w:rsid w:val="002378AE"/>
    <w:rsid w:val="00243993"/>
    <w:rsid w:val="00250FDF"/>
    <w:rsid w:val="002767DB"/>
    <w:rsid w:val="0028393F"/>
    <w:rsid w:val="002D4CEC"/>
    <w:rsid w:val="002E65A2"/>
    <w:rsid w:val="002F1A9B"/>
    <w:rsid w:val="002F3C2B"/>
    <w:rsid w:val="00307499"/>
    <w:rsid w:val="003153F6"/>
    <w:rsid w:val="0032731A"/>
    <w:rsid w:val="00343364"/>
    <w:rsid w:val="00352EEF"/>
    <w:rsid w:val="003653A4"/>
    <w:rsid w:val="003A278E"/>
    <w:rsid w:val="003B423C"/>
    <w:rsid w:val="003B7509"/>
    <w:rsid w:val="003C7D22"/>
    <w:rsid w:val="003D386B"/>
    <w:rsid w:val="003D3BEE"/>
    <w:rsid w:val="003E5860"/>
    <w:rsid w:val="00406DB4"/>
    <w:rsid w:val="00407F54"/>
    <w:rsid w:val="00426612"/>
    <w:rsid w:val="00435253"/>
    <w:rsid w:val="0043562C"/>
    <w:rsid w:val="00450E7E"/>
    <w:rsid w:val="00462F7A"/>
    <w:rsid w:val="00483318"/>
    <w:rsid w:val="0048421F"/>
    <w:rsid w:val="004916AC"/>
    <w:rsid w:val="00494885"/>
    <w:rsid w:val="004B49E6"/>
    <w:rsid w:val="004B57B4"/>
    <w:rsid w:val="004C2625"/>
    <w:rsid w:val="004D0969"/>
    <w:rsid w:val="004D0E7A"/>
    <w:rsid w:val="004D2A2B"/>
    <w:rsid w:val="004D648E"/>
    <w:rsid w:val="004F75B1"/>
    <w:rsid w:val="005125A8"/>
    <w:rsid w:val="005303E1"/>
    <w:rsid w:val="005329A9"/>
    <w:rsid w:val="00545186"/>
    <w:rsid w:val="0055398E"/>
    <w:rsid w:val="005569DC"/>
    <w:rsid w:val="00567089"/>
    <w:rsid w:val="005753CF"/>
    <w:rsid w:val="0058569B"/>
    <w:rsid w:val="0059521A"/>
    <w:rsid w:val="005A21AF"/>
    <w:rsid w:val="005E1B51"/>
    <w:rsid w:val="005E33B9"/>
    <w:rsid w:val="005F0249"/>
    <w:rsid w:val="00620D7E"/>
    <w:rsid w:val="00673846"/>
    <w:rsid w:val="0067574F"/>
    <w:rsid w:val="0068067F"/>
    <w:rsid w:val="0068473A"/>
    <w:rsid w:val="006A13C6"/>
    <w:rsid w:val="006B1668"/>
    <w:rsid w:val="006C06BF"/>
    <w:rsid w:val="006D685C"/>
    <w:rsid w:val="006E68BF"/>
    <w:rsid w:val="007120DC"/>
    <w:rsid w:val="00743253"/>
    <w:rsid w:val="0076081D"/>
    <w:rsid w:val="00766BA0"/>
    <w:rsid w:val="0077582B"/>
    <w:rsid w:val="00793CDF"/>
    <w:rsid w:val="007D1BFA"/>
    <w:rsid w:val="007E15CD"/>
    <w:rsid w:val="007F310C"/>
    <w:rsid w:val="008323FC"/>
    <w:rsid w:val="00857762"/>
    <w:rsid w:val="0087178E"/>
    <w:rsid w:val="00882CCA"/>
    <w:rsid w:val="008864F6"/>
    <w:rsid w:val="00897BB0"/>
    <w:rsid w:val="008A2ABE"/>
    <w:rsid w:val="008B4F2C"/>
    <w:rsid w:val="008C7079"/>
    <w:rsid w:val="008C74D9"/>
    <w:rsid w:val="008E238A"/>
    <w:rsid w:val="008E5CF5"/>
    <w:rsid w:val="00904D6C"/>
    <w:rsid w:val="00926DC7"/>
    <w:rsid w:val="00937DFC"/>
    <w:rsid w:val="00946D01"/>
    <w:rsid w:val="0096266C"/>
    <w:rsid w:val="00982AEC"/>
    <w:rsid w:val="0099289C"/>
    <w:rsid w:val="009C49D3"/>
    <w:rsid w:val="009E25AC"/>
    <w:rsid w:val="009F19FE"/>
    <w:rsid w:val="009F23A5"/>
    <w:rsid w:val="00A0254E"/>
    <w:rsid w:val="00A100F0"/>
    <w:rsid w:val="00A54044"/>
    <w:rsid w:val="00A546D9"/>
    <w:rsid w:val="00A63BE6"/>
    <w:rsid w:val="00A73BC7"/>
    <w:rsid w:val="00A8035C"/>
    <w:rsid w:val="00AB121A"/>
    <w:rsid w:val="00AB1B02"/>
    <w:rsid w:val="00AB2F0F"/>
    <w:rsid w:val="00AB57AF"/>
    <w:rsid w:val="00AD07C3"/>
    <w:rsid w:val="00AD0B22"/>
    <w:rsid w:val="00AD3A23"/>
    <w:rsid w:val="00AD582D"/>
    <w:rsid w:val="00AE578B"/>
    <w:rsid w:val="00B04B0F"/>
    <w:rsid w:val="00B05A9D"/>
    <w:rsid w:val="00B10DA1"/>
    <w:rsid w:val="00B119DF"/>
    <w:rsid w:val="00B2555B"/>
    <w:rsid w:val="00B6632C"/>
    <w:rsid w:val="00B67F6B"/>
    <w:rsid w:val="00B748C2"/>
    <w:rsid w:val="00B750AD"/>
    <w:rsid w:val="00B86974"/>
    <w:rsid w:val="00B92DB3"/>
    <w:rsid w:val="00BA48F7"/>
    <w:rsid w:val="00BB5612"/>
    <w:rsid w:val="00BB56D4"/>
    <w:rsid w:val="00BB6405"/>
    <w:rsid w:val="00BB7F4F"/>
    <w:rsid w:val="00BC4186"/>
    <w:rsid w:val="00C016F3"/>
    <w:rsid w:val="00C11FE3"/>
    <w:rsid w:val="00C20D8F"/>
    <w:rsid w:val="00C476DC"/>
    <w:rsid w:val="00C51E55"/>
    <w:rsid w:val="00C95240"/>
    <w:rsid w:val="00CB468F"/>
    <w:rsid w:val="00CD5C0E"/>
    <w:rsid w:val="00CE1570"/>
    <w:rsid w:val="00CE2290"/>
    <w:rsid w:val="00CF14C4"/>
    <w:rsid w:val="00CF7639"/>
    <w:rsid w:val="00D3585B"/>
    <w:rsid w:val="00D46097"/>
    <w:rsid w:val="00D746D5"/>
    <w:rsid w:val="00D75FAE"/>
    <w:rsid w:val="00D92792"/>
    <w:rsid w:val="00DA0834"/>
    <w:rsid w:val="00DA4AB7"/>
    <w:rsid w:val="00DA5CD2"/>
    <w:rsid w:val="00DA7C53"/>
    <w:rsid w:val="00DB7DF3"/>
    <w:rsid w:val="00DC3962"/>
    <w:rsid w:val="00E25FCA"/>
    <w:rsid w:val="00E4177A"/>
    <w:rsid w:val="00E46410"/>
    <w:rsid w:val="00E72215"/>
    <w:rsid w:val="00EB1A58"/>
    <w:rsid w:val="00EB7BF8"/>
    <w:rsid w:val="00EC7603"/>
    <w:rsid w:val="00EE1DAB"/>
    <w:rsid w:val="00EE3E81"/>
    <w:rsid w:val="00F02C01"/>
    <w:rsid w:val="00F327BD"/>
    <w:rsid w:val="00F32BD1"/>
    <w:rsid w:val="00F45C51"/>
    <w:rsid w:val="00F55944"/>
    <w:rsid w:val="00F7400F"/>
    <w:rsid w:val="00F9175B"/>
    <w:rsid w:val="00FA6290"/>
    <w:rsid w:val="00FB3AF5"/>
    <w:rsid w:val="00FB6A7E"/>
    <w:rsid w:val="00FC2C0A"/>
    <w:rsid w:val="00FE22A2"/>
    <w:rsid w:val="00FF1011"/>
    <w:rsid w:val="011E7026"/>
    <w:rsid w:val="014424C0"/>
    <w:rsid w:val="0264359E"/>
    <w:rsid w:val="02B82EAD"/>
    <w:rsid w:val="02EC578B"/>
    <w:rsid w:val="033F07E0"/>
    <w:rsid w:val="035B7754"/>
    <w:rsid w:val="039307AD"/>
    <w:rsid w:val="03F67657"/>
    <w:rsid w:val="04903D50"/>
    <w:rsid w:val="04F264D6"/>
    <w:rsid w:val="061B173E"/>
    <w:rsid w:val="066259B8"/>
    <w:rsid w:val="06D31D84"/>
    <w:rsid w:val="070B5517"/>
    <w:rsid w:val="071D6B59"/>
    <w:rsid w:val="07777375"/>
    <w:rsid w:val="07942E4A"/>
    <w:rsid w:val="080F1156"/>
    <w:rsid w:val="084949C2"/>
    <w:rsid w:val="08501C2A"/>
    <w:rsid w:val="086A4D2A"/>
    <w:rsid w:val="08D37301"/>
    <w:rsid w:val="0A0E2472"/>
    <w:rsid w:val="0DE545B5"/>
    <w:rsid w:val="0E935ADC"/>
    <w:rsid w:val="0F7A6F60"/>
    <w:rsid w:val="10757B56"/>
    <w:rsid w:val="10DA045C"/>
    <w:rsid w:val="11B33D77"/>
    <w:rsid w:val="13164025"/>
    <w:rsid w:val="136B4FFE"/>
    <w:rsid w:val="15254A6C"/>
    <w:rsid w:val="164F75C8"/>
    <w:rsid w:val="166B2C57"/>
    <w:rsid w:val="16AE52C6"/>
    <w:rsid w:val="17C22B7E"/>
    <w:rsid w:val="188A560D"/>
    <w:rsid w:val="18D05E62"/>
    <w:rsid w:val="1BA53476"/>
    <w:rsid w:val="1C8C0701"/>
    <w:rsid w:val="1CAE747C"/>
    <w:rsid w:val="1F2D483C"/>
    <w:rsid w:val="1F8009B1"/>
    <w:rsid w:val="20C41A49"/>
    <w:rsid w:val="214E3D93"/>
    <w:rsid w:val="22682C8E"/>
    <w:rsid w:val="231A3A5F"/>
    <w:rsid w:val="23533F78"/>
    <w:rsid w:val="24382AA3"/>
    <w:rsid w:val="249A6634"/>
    <w:rsid w:val="258B4C15"/>
    <w:rsid w:val="25B80025"/>
    <w:rsid w:val="25CA0B44"/>
    <w:rsid w:val="25D54AF3"/>
    <w:rsid w:val="26864004"/>
    <w:rsid w:val="27966AEF"/>
    <w:rsid w:val="28752F87"/>
    <w:rsid w:val="288173E5"/>
    <w:rsid w:val="28AE321D"/>
    <w:rsid w:val="28D057FB"/>
    <w:rsid w:val="28EE2F0B"/>
    <w:rsid w:val="29935EC6"/>
    <w:rsid w:val="299E02C1"/>
    <w:rsid w:val="2A1956DC"/>
    <w:rsid w:val="2A353D77"/>
    <w:rsid w:val="2A4261E1"/>
    <w:rsid w:val="2A850D14"/>
    <w:rsid w:val="2B04126F"/>
    <w:rsid w:val="2C3A764C"/>
    <w:rsid w:val="2DC51D28"/>
    <w:rsid w:val="2DED183F"/>
    <w:rsid w:val="2DEF19EC"/>
    <w:rsid w:val="2E705EE0"/>
    <w:rsid w:val="302E6AFE"/>
    <w:rsid w:val="30D77632"/>
    <w:rsid w:val="30E91988"/>
    <w:rsid w:val="311E155B"/>
    <w:rsid w:val="31466955"/>
    <w:rsid w:val="31C720FA"/>
    <w:rsid w:val="31DA7ECC"/>
    <w:rsid w:val="320B6DA8"/>
    <w:rsid w:val="32AC4F2A"/>
    <w:rsid w:val="330B1D24"/>
    <w:rsid w:val="33B6230E"/>
    <w:rsid w:val="34462D46"/>
    <w:rsid w:val="345201B2"/>
    <w:rsid w:val="34A177E5"/>
    <w:rsid w:val="34AA16C8"/>
    <w:rsid w:val="35B945F6"/>
    <w:rsid w:val="36315D8D"/>
    <w:rsid w:val="36CB1EA3"/>
    <w:rsid w:val="37410A2E"/>
    <w:rsid w:val="378A56E5"/>
    <w:rsid w:val="37ED0779"/>
    <w:rsid w:val="380D29D1"/>
    <w:rsid w:val="397523E2"/>
    <w:rsid w:val="39897C3B"/>
    <w:rsid w:val="39F852B7"/>
    <w:rsid w:val="3B1003E6"/>
    <w:rsid w:val="3C355E58"/>
    <w:rsid w:val="3C446D21"/>
    <w:rsid w:val="3D080C5B"/>
    <w:rsid w:val="3D0A48DE"/>
    <w:rsid w:val="3D9F573B"/>
    <w:rsid w:val="3D9F626B"/>
    <w:rsid w:val="3EB777FE"/>
    <w:rsid w:val="3F56236D"/>
    <w:rsid w:val="3F987CBA"/>
    <w:rsid w:val="3FD87871"/>
    <w:rsid w:val="40D761B5"/>
    <w:rsid w:val="40F92139"/>
    <w:rsid w:val="426F1467"/>
    <w:rsid w:val="43E377AB"/>
    <w:rsid w:val="45045482"/>
    <w:rsid w:val="45381035"/>
    <w:rsid w:val="464257AC"/>
    <w:rsid w:val="46553540"/>
    <w:rsid w:val="46825068"/>
    <w:rsid w:val="47077045"/>
    <w:rsid w:val="47910A3E"/>
    <w:rsid w:val="47BE4E4C"/>
    <w:rsid w:val="483E6EE4"/>
    <w:rsid w:val="486034DE"/>
    <w:rsid w:val="49376D1A"/>
    <w:rsid w:val="4A670B27"/>
    <w:rsid w:val="4A86383D"/>
    <w:rsid w:val="4A9474B7"/>
    <w:rsid w:val="4A9E3722"/>
    <w:rsid w:val="4AA81F99"/>
    <w:rsid w:val="4C531E6C"/>
    <w:rsid w:val="4CF6485F"/>
    <w:rsid w:val="4D5F2D35"/>
    <w:rsid w:val="4E0F500C"/>
    <w:rsid w:val="4E9E163B"/>
    <w:rsid w:val="4EAF446A"/>
    <w:rsid w:val="4EDB5249"/>
    <w:rsid w:val="4FC052A8"/>
    <w:rsid w:val="50080A8F"/>
    <w:rsid w:val="50CA3DCE"/>
    <w:rsid w:val="50DE6412"/>
    <w:rsid w:val="51AC3D58"/>
    <w:rsid w:val="51EF0177"/>
    <w:rsid w:val="52EE382D"/>
    <w:rsid w:val="5412468A"/>
    <w:rsid w:val="5584013F"/>
    <w:rsid w:val="57560D05"/>
    <w:rsid w:val="575C51C8"/>
    <w:rsid w:val="5A44197B"/>
    <w:rsid w:val="5ADA7E9F"/>
    <w:rsid w:val="5B431BB8"/>
    <w:rsid w:val="5B687259"/>
    <w:rsid w:val="5BB02696"/>
    <w:rsid w:val="5BEF2967"/>
    <w:rsid w:val="5BF10CE0"/>
    <w:rsid w:val="5D867E6A"/>
    <w:rsid w:val="5DAB7F11"/>
    <w:rsid w:val="5DD7361A"/>
    <w:rsid w:val="5E4044BD"/>
    <w:rsid w:val="5F4140BD"/>
    <w:rsid w:val="5F885F89"/>
    <w:rsid w:val="61AF6282"/>
    <w:rsid w:val="61F00697"/>
    <w:rsid w:val="631E4244"/>
    <w:rsid w:val="637040FE"/>
    <w:rsid w:val="63C416EC"/>
    <w:rsid w:val="63D63BF2"/>
    <w:rsid w:val="63F1236C"/>
    <w:rsid w:val="64316F36"/>
    <w:rsid w:val="643D2B25"/>
    <w:rsid w:val="6490775E"/>
    <w:rsid w:val="64956F63"/>
    <w:rsid w:val="65AC7A54"/>
    <w:rsid w:val="6702629A"/>
    <w:rsid w:val="670848E5"/>
    <w:rsid w:val="67D64908"/>
    <w:rsid w:val="688368EF"/>
    <w:rsid w:val="68957F95"/>
    <w:rsid w:val="68B253A2"/>
    <w:rsid w:val="68DE32BB"/>
    <w:rsid w:val="692A6954"/>
    <w:rsid w:val="695232F6"/>
    <w:rsid w:val="696A5E58"/>
    <w:rsid w:val="6A4C3825"/>
    <w:rsid w:val="6A632E67"/>
    <w:rsid w:val="6A75304D"/>
    <w:rsid w:val="6A7E55EB"/>
    <w:rsid w:val="6C2B2CD5"/>
    <w:rsid w:val="6D3D36C2"/>
    <w:rsid w:val="6DE00601"/>
    <w:rsid w:val="6E5525CA"/>
    <w:rsid w:val="6E634EE9"/>
    <w:rsid w:val="6EDE3638"/>
    <w:rsid w:val="6F465D70"/>
    <w:rsid w:val="6F84489A"/>
    <w:rsid w:val="6FBB0C48"/>
    <w:rsid w:val="71BE2859"/>
    <w:rsid w:val="72357C7D"/>
    <w:rsid w:val="72A73B8E"/>
    <w:rsid w:val="72AC6B3B"/>
    <w:rsid w:val="731E2CB7"/>
    <w:rsid w:val="73886292"/>
    <w:rsid w:val="73945D1E"/>
    <w:rsid w:val="73C26322"/>
    <w:rsid w:val="740D5B4B"/>
    <w:rsid w:val="74207A86"/>
    <w:rsid w:val="748E50F2"/>
    <w:rsid w:val="761E526D"/>
    <w:rsid w:val="76341D2E"/>
    <w:rsid w:val="76BB1CA4"/>
    <w:rsid w:val="76F105F2"/>
    <w:rsid w:val="77027C91"/>
    <w:rsid w:val="770B7993"/>
    <w:rsid w:val="771E7DB0"/>
    <w:rsid w:val="78000AED"/>
    <w:rsid w:val="7920503E"/>
    <w:rsid w:val="79255E83"/>
    <w:rsid w:val="798C29F8"/>
    <w:rsid w:val="7A6852A8"/>
    <w:rsid w:val="7B174D15"/>
    <w:rsid w:val="7B183ECE"/>
    <w:rsid w:val="7B2A4FDE"/>
    <w:rsid w:val="7B5A1A77"/>
    <w:rsid w:val="7B5A44F5"/>
    <w:rsid w:val="7D9E7065"/>
    <w:rsid w:val="7EE43B71"/>
    <w:rsid w:val="7EE711EC"/>
    <w:rsid w:val="7F597088"/>
    <w:rsid w:val="7F863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0"/>
    <w:pPr>
      <w:outlineLvl w:val="1"/>
    </w:pPr>
    <w:rPr>
      <w:rFonts w:ascii="宋体" w:hAnsi="宋体"/>
      <w:sz w:val="30"/>
      <w:szCs w:val="30"/>
    </w:rPr>
  </w:style>
  <w:style w:type="paragraph" w:styleId="4">
    <w:name w:val="heading 3"/>
    <w:basedOn w:val="1"/>
    <w:next w:val="1"/>
    <w:link w:val="20"/>
    <w:qFormat/>
    <w:uiPriority w:val="0"/>
    <w:pPr>
      <w:keepNext/>
      <w:keepLines/>
      <w:spacing w:before="260" w:after="260" w:line="416" w:lineRule="auto"/>
      <w:outlineLvl w:val="2"/>
    </w:pPr>
    <w:rPr>
      <w:rFonts w:ascii="宋体" w:hAnsi="Courier New"/>
      <w:b/>
      <w:bCs/>
      <w:sz w:val="32"/>
      <w:szCs w:val="32"/>
    </w:rPr>
  </w:style>
  <w:style w:type="paragraph" w:styleId="5">
    <w:name w:val="heading 4"/>
    <w:basedOn w:val="1"/>
    <w:next w:val="1"/>
    <w:qFormat/>
    <w:uiPriority w:val="0"/>
    <w:pPr>
      <w:keepNext/>
      <w:keepLines/>
      <w:spacing w:before="280" w:after="290" w:line="372" w:lineRule="auto"/>
      <w:outlineLvl w:val="3"/>
    </w:pPr>
    <w:rPr>
      <w:rFonts w:ascii="Cambria" w:hAnsi="Cambria"/>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style>
  <w:style w:type="paragraph" w:styleId="8">
    <w:name w:val="Body Text"/>
    <w:basedOn w:val="1"/>
    <w:qFormat/>
    <w:uiPriority w:val="0"/>
    <w:pPr>
      <w:ind w:left="600"/>
    </w:pPr>
    <w:rPr>
      <w:rFonts w:ascii="宋体" w:hAnsi="宋体"/>
      <w:sz w:val="24"/>
      <w:szCs w:val="24"/>
    </w:rPr>
  </w:style>
  <w:style w:type="paragraph" w:styleId="9">
    <w:name w:val="Plain Text"/>
    <w:basedOn w:val="1"/>
    <w:qFormat/>
    <w:uiPriority w:val="0"/>
    <w:rPr>
      <w:rFonts w:ascii="宋体" w:hAnsi="Courier New"/>
    </w:rPr>
  </w:style>
  <w:style w:type="paragraph" w:styleId="10">
    <w:name w:val="Balloon Text"/>
    <w:basedOn w:val="1"/>
    <w:link w:val="19"/>
    <w:semiHidden/>
    <w:unhideWhenUsed/>
    <w:qFormat/>
    <w:uiPriority w:val="99"/>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rPr>
  </w:style>
  <w:style w:type="paragraph" w:styleId="1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5">
    <w:name w:val="Table Grid"/>
    <w:basedOn w:val="14"/>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styleId="18">
    <w:name w:val="Hyperlink"/>
    <w:basedOn w:val="16"/>
    <w:semiHidden/>
    <w:unhideWhenUsed/>
    <w:qFormat/>
    <w:uiPriority w:val="99"/>
    <w:rPr>
      <w:color w:val="0000FF"/>
      <w:u w:val="single"/>
    </w:rPr>
  </w:style>
  <w:style w:type="character" w:customStyle="1" w:styleId="19">
    <w:name w:val="批注框文本 Char"/>
    <w:basedOn w:val="16"/>
    <w:link w:val="10"/>
    <w:semiHidden/>
    <w:qFormat/>
    <w:uiPriority w:val="99"/>
    <w:rPr>
      <w:rFonts w:ascii="Calibri" w:hAnsi="Calibri" w:eastAsia="宋体" w:cs="Times New Roman"/>
      <w:sz w:val="18"/>
      <w:szCs w:val="18"/>
    </w:rPr>
  </w:style>
  <w:style w:type="character" w:customStyle="1" w:styleId="20">
    <w:name w:val="标题 3 Char"/>
    <w:link w:val="4"/>
    <w:qFormat/>
    <w:uiPriority w:val="0"/>
    <w:rPr>
      <w:rFonts w:ascii="宋体" w:hAnsi="Courier New"/>
      <w:b/>
      <w:bCs/>
      <w:sz w:val="32"/>
      <w:szCs w:val="32"/>
    </w:rPr>
  </w:style>
  <w:style w:type="paragraph" w:customStyle="1" w:styleId="21">
    <w:name w:val="Table Paragraph"/>
    <w:basedOn w:val="1"/>
    <w:qFormat/>
    <w:uiPriority w:val="0"/>
  </w:style>
  <w:style w:type="paragraph" w:customStyle="1" w:styleId="22">
    <w:name w:val="_Style 5"/>
    <w:basedOn w:val="1"/>
    <w:qFormat/>
    <w:uiPriority w:val="0"/>
    <w:pPr>
      <w:ind w:firstLine="420" w:firstLineChars="200"/>
    </w:pPr>
    <w:rPr>
      <w:rFonts w:ascii="Calibri" w:hAnsi="Calibri" w:eastAsia="宋体" w:cs="Times New Roman"/>
      <w:szCs w:val="24"/>
    </w:rPr>
  </w:style>
  <w:style w:type="paragraph" w:customStyle="1" w:styleId="2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标题 2_1"/>
    <w:basedOn w:val="24"/>
    <w:next w:val="24"/>
    <w:qFormat/>
    <w:uiPriority w:val="0"/>
    <w:pPr>
      <w:keepNext/>
      <w:keepLines/>
      <w:spacing w:before="260" w:after="260" w:line="416" w:lineRule="auto"/>
      <w:outlineLvl w:val="1"/>
    </w:pPr>
    <w:rPr>
      <w:rFonts w:ascii="Cambria" w:hAnsi="Cambria"/>
      <w:b/>
      <w:bCs/>
      <w:sz w:val="32"/>
      <w:szCs w:val="32"/>
    </w:rPr>
  </w:style>
  <w:style w:type="paragraph" w:customStyle="1" w:styleId="26">
    <w:name w:val="标题 3_0"/>
    <w:basedOn w:val="24"/>
    <w:next w:val="24"/>
    <w:qFormat/>
    <w:uiPriority w:val="0"/>
    <w:pPr>
      <w:keepNext/>
      <w:keepLines/>
      <w:spacing w:before="260" w:after="260" w:line="416" w:lineRule="auto"/>
      <w:outlineLvl w:val="2"/>
    </w:pPr>
    <w:rPr>
      <w:b/>
      <w:bCs/>
      <w:sz w:val="32"/>
      <w:szCs w:val="32"/>
    </w:rPr>
  </w:style>
  <w:style w:type="paragraph" w:customStyle="1" w:styleId="27">
    <w:name w:val="正文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
    <w:name w:val="纯文本_0"/>
    <w:basedOn w:val="24"/>
    <w:qFormat/>
    <w:uiPriority w:val="0"/>
    <w:rPr>
      <w:rFonts w:ascii="宋体" w:hAnsi="Courier New"/>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15676</Words>
  <Characters>16337</Characters>
  <Lines>34</Lines>
  <Paragraphs>9</Paragraphs>
  <TotalTime>1</TotalTime>
  <ScaleCrop>false</ScaleCrop>
  <LinksUpToDate>false</LinksUpToDate>
  <CharactersWithSpaces>17064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2020-12-21T07:46:00Z</dcterms:created>
  <dc:creator>蒋云</dc:creator>
  <cp:lastModifiedBy>张潇予</cp:lastModifiedBy>
  <cp:lastPrinted>2022-05-05T01:31:00Z</cp:lastPrinted>
  <dcterms:modified xsi:type="dcterms:W3CDTF">2025-04-25T13:44:04Z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F5F552C3509E445E929920A43E387DF5_13</vt:lpwstr>
  </property>
  <property fmtid="{D5CDD505-2E9C-101B-9397-08002B2CF9AE}" pid="4" name="commondata">
    <vt:lpwstr>eyJoZGlkIjoiMzFhYjEyOTI2ZmNkMmVjMmE3YWE5ZmE0YWU3NGFmZmYifQ==</vt:lpwstr>
  </property>
  <property fmtid="{D5CDD505-2E9C-101B-9397-08002B2CF9AE}" pid="5" name="KSOTemplateDocerSaveRecord">
    <vt:lpwstr>eyJoZGlkIjoiMmRjNjFiZGUwYzY0ZWJlOTc0MDY4MmEyMmI0MDBhNjEiLCJ1c2VySWQiOiI0Mzg1NDk1MTUifQ==</vt:lpwstr>
  </property>
</Properties>
</file>